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03395B9" w:rsidR="00C10060" w:rsidRPr="000059C6" w:rsidRDefault="000059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SPOLOČENSKÁ ZMLUVA</w:t>
      </w:r>
    </w:p>
    <w:p w14:paraId="00000002" w14:textId="77777777" w:rsidR="00C10060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spoločnosti s ručením obmedzeným</w:t>
      </w:r>
    </w:p>
    <w:p w14:paraId="294AC441" w14:textId="77777777" w:rsidR="006C4A6E" w:rsidRDefault="006C4A6E" w:rsidP="006C4A6E">
      <w:pPr>
        <w:pBdr>
          <w:top w:val="nil"/>
          <w:left w:val="nil"/>
          <w:bottom w:val="nil"/>
          <w:right w:val="nil"/>
          <w:between w:val="nil"/>
        </w:pBdr>
        <w:ind w:left="390" w:firstLine="318"/>
        <w:jc w:val="center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F1074CA" w14:textId="099B63A7" w:rsidR="006C4A6E" w:rsidRPr="006C4A6E" w:rsidRDefault="006C4A6E" w:rsidP="006C4A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(ďalej len „</w:t>
      </w: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spoločnosť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“)</w:t>
      </w:r>
    </w:p>
    <w:p w14:paraId="00000003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04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05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I.</w:t>
      </w:r>
    </w:p>
    <w:p w14:paraId="00000006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Obchodné meno, sídlo a trvanie spoločnosti</w:t>
      </w:r>
    </w:p>
    <w:p w14:paraId="00000007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08" w14:textId="3BFF597E" w:rsidR="00C10060" w:rsidRPr="000059C6" w:rsidRDefault="006A7C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Obchodné meno spoločnosti </w:t>
      </w:r>
      <w:r w:rsidR="00947739">
        <w:rPr>
          <w:rFonts w:ascii="Arial" w:eastAsia="Arial" w:hAnsi="Arial" w:cs="Arial"/>
          <w:color w:val="000000"/>
          <w:sz w:val="22"/>
          <w:szCs w:val="22"/>
          <w:lang w:val="sk-SK"/>
        </w:rPr>
        <w:t>zni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e:</w:t>
      </w:r>
    </w:p>
    <w:p w14:paraId="00000009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390" w:firstLine="318"/>
        <w:jc w:val="both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0B" w14:textId="01CB0353" w:rsidR="00C10060" w:rsidRPr="000059C6" w:rsidRDefault="000059C6">
      <w:pPr>
        <w:pBdr>
          <w:top w:val="nil"/>
          <w:left w:val="nil"/>
          <w:bottom w:val="nil"/>
          <w:right w:val="nil"/>
          <w:between w:val="nil"/>
        </w:pBdr>
        <w:ind w:left="390" w:firstLine="318"/>
        <w:jc w:val="both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sym w:font="Symbol" w:char="F05B"/>
      </w: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sym w:font="Symbol" w:char="F05D"/>
      </w:r>
    </w:p>
    <w:p w14:paraId="0000000D" w14:textId="77777777" w:rsidR="00C10060" w:rsidRPr="000059C6" w:rsidRDefault="00C10060" w:rsidP="00C321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0E" w14:textId="3D15F29D" w:rsidR="00C10060" w:rsidRPr="000059C6" w:rsidRDefault="006A7C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Sídlo spoločnosti je</w:t>
      </w:r>
      <w:r w:rsidR="00373EB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umiestnen</w:t>
      </w:r>
      <w:r w:rsidR="00947739">
        <w:rPr>
          <w:rFonts w:ascii="Arial" w:eastAsia="Arial" w:hAnsi="Arial" w:cs="Arial"/>
          <w:color w:val="000000"/>
          <w:sz w:val="22"/>
          <w:szCs w:val="22"/>
          <w:lang w:val="sk-SK"/>
        </w:rPr>
        <w:t>é</w:t>
      </w:r>
      <w:r w:rsidR="00373EB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na adrese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:</w:t>
      </w:r>
    </w:p>
    <w:p w14:paraId="0000000F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11" w14:textId="665E5603" w:rsidR="00C10060" w:rsidRPr="000059C6" w:rsidRDefault="000059C6" w:rsidP="000059C6">
      <w:pPr>
        <w:pBdr>
          <w:top w:val="nil"/>
          <w:left w:val="nil"/>
          <w:bottom w:val="nil"/>
          <w:right w:val="nil"/>
          <w:between w:val="nil"/>
        </w:pBdr>
        <w:ind w:left="390" w:firstLine="318"/>
        <w:jc w:val="both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sym w:font="Symbol" w:char="F05B"/>
      </w: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sym w:font="Symbol" w:char="F05D"/>
      </w:r>
    </w:p>
    <w:p w14:paraId="5377CDE9" w14:textId="77777777" w:rsidR="001E1AF6" w:rsidRPr="000059C6" w:rsidRDefault="001E1AF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12" w14:textId="77777777" w:rsidR="00C10060" w:rsidRPr="000059C6" w:rsidRDefault="006A7C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Spoločnosť sa zakladá na dobu neurčitú.</w:t>
      </w:r>
    </w:p>
    <w:p w14:paraId="00000013" w14:textId="77777777" w:rsidR="00C10060" w:rsidRDefault="00C100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47B13877" w14:textId="77777777" w:rsidR="000059C6" w:rsidRPr="000059C6" w:rsidRDefault="000059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14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II.</w:t>
      </w:r>
    </w:p>
    <w:p w14:paraId="00000015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Spoločníci</w:t>
      </w:r>
    </w:p>
    <w:p w14:paraId="00000016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17" w14:textId="77777777" w:rsidR="00C10060" w:rsidRPr="000059C6" w:rsidRDefault="006A7CA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Spoločníkmi spoločnosti sú:</w:t>
      </w:r>
    </w:p>
    <w:p w14:paraId="00000018" w14:textId="77777777" w:rsidR="00C10060" w:rsidRPr="000059C6" w:rsidRDefault="00C10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5"/>
        </w:tabs>
        <w:spacing w:line="216" w:lineRule="auto"/>
        <w:rPr>
          <w:rFonts w:ascii="Arial" w:eastAsia="Arial" w:hAnsi="Arial" w:cs="Arial"/>
          <w:b/>
          <w:sz w:val="22"/>
          <w:szCs w:val="22"/>
          <w:lang w:val="sk-SK"/>
        </w:rPr>
      </w:pPr>
    </w:p>
    <w:p w14:paraId="79D26943" w14:textId="77777777" w:rsidR="000059C6" w:rsidRPr="000059C6" w:rsidRDefault="000059C6" w:rsidP="000059C6">
      <w:pPr>
        <w:pBdr>
          <w:top w:val="nil"/>
          <w:left w:val="nil"/>
          <w:bottom w:val="nil"/>
          <w:right w:val="nil"/>
          <w:between w:val="nil"/>
        </w:pBdr>
        <w:ind w:left="390" w:firstLine="318"/>
        <w:jc w:val="both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sym w:font="Symbol" w:char="F05B"/>
      </w: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sym w:font="Symbol" w:char="F05D"/>
      </w:r>
    </w:p>
    <w:p w14:paraId="00000021" w14:textId="181D2E59" w:rsidR="00C10060" w:rsidRPr="000059C6" w:rsidRDefault="006A7CAC" w:rsidP="000059C6">
      <w:pPr>
        <w:pBdr>
          <w:top w:val="nil"/>
          <w:left w:val="nil"/>
          <w:bottom w:val="nil"/>
          <w:right w:val="nil"/>
          <w:between w:val="nil"/>
        </w:pBdr>
        <w:ind w:left="390" w:firstLine="318"/>
        <w:jc w:val="both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sz w:val="22"/>
          <w:szCs w:val="22"/>
          <w:lang w:val="sk-SK"/>
        </w:rPr>
        <w:t>(ďalej len „</w:t>
      </w:r>
      <w:r w:rsidRPr="000059C6">
        <w:rPr>
          <w:rFonts w:ascii="Arial" w:eastAsia="Arial" w:hAnsi="Arial" w:cs="Arial"/>
          <w:b/>
          <w:sz w:val="22"/>
          <w:szCs w:val="22"/>
          <w:lang w:val="sk-SK"/>
        </w:rPr>
        <w:t>spoločník 1</w:t>
      </w:r>
      <w:r w:rsidRPr="000059C6">
        <w:rPr>
          <w:rFonts w:ascii="Arial" w:eastAsia="Arial" w:hAnsi="Arial" w:cs="Arial"/>
          <w:sz w:val="22"/>
          <w:szCs w:val="22"/>
          <w:lang w:val="sk-SK"/>
        </w:rPr>
        <w:t>“)</w:t>
      </w:r>
    </w:p>
    <w:p w14:paraId="00000022" w14:textId="77777777" w:rsidR="00C10060" w:rsidRPr="000059C6" w:rsidRDefault="00C10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5"/>
        </w:tabs>
        <w:spacing w:line="216" w:lineRule="auto"/>
        <w:ind w:left="2160"/>
        <w:jc w:val="both"/>
        <w:rPr>
          <w:rFonts w:ascii="Arial" w:eastAsia="Arial" w:hAnsi="Arial" w:cs="Arial"/>
          <w:sz w:val="22"/>
          <w:szCs w:val="22"/>
          <w:lang w:val="sk-SK"/>
        </w:rPr>
      </w:pPr>
    </w:p>
    <w:p w14:paraId="00000023" w14:textId="77777777" w:rsidR="00C10060" w:rsidRPr="000059C6" w:rsidRDefault="006A7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5"/>
        </w:tabs>
        <w:spacing w:line="216" w:lineRule="auto"/>
        <w:jc w:val="both"/>
        <w:rPr>
          <w:rFonts w:ascii="Arial" w:eastAsia="Arial" w:hAnsi="Arial" w:cs="Arial"/>
          <w:sz w:val="22"/>
          <w:szCs w:val="22"/>
          <w:lang w:val="sk-SK"/>
        </w:rPr>
      </w:pPr>
      <w:r w:rsidRPr="000059C6">
        <w:rPr>
          <w:rFonts w:ascii="Arial" w:eastAsia="Arial" w:hAnsi="Arial" w:cs="Arial"/>
          <w:sz w:val="22"/>
          <w:szCs w:val="22"/>
          <w:lang w:val="sk-SK"/>
        </w:rPr>
        <w:tab/>
        <w:t>a</w:t>
      </w:r>
    </w:p>
    <w:p w14:paraId="00000024" w14:textId="77777777" w:rsidR="00C10060" w:rsidRPr="000059C6" w:rsidRDefault="00C10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5"/>
        </w:tabs>
        <w:spacing w:line="216" w:lineRule="auto"/>
        <w:ind w:left="2160"/>
        <w:jc w:val="both"/>
        <w:rPr>
          <w:rFonts w:ascii="Arial" w:eastAsia="Arial" w:hAnsi="Arial" w:cs="Arial"/>
          <w:sz w:val="22"/>
          <w:szCs w:val="22"/>
          <w:lang w:val="sk-SK"/>
        </w:rPr>
      </w:pPr>
    </w:p>
    <w:p w14:paraId="41267ED6" w14:textId="519D721A" w:rsidR="001E1AF6" w:rsidRPr="000059C6" w:rsidRDefault="006A7CAC" w:rsidP="000059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5"/>
        </w:tabs>
        <w:spacing w:line="216" w:lineRule="auto"/>
        <w:jc w:val="both"/>
        <w:rPr>
          <w:rFonts w:ascii="Arial" w:eastAsia="Arial" w:hAnsi="Arial" w:cs="Arial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sz w:val="22"/>
          <w:szCs w:val="22"/>
          <w:lang w:val="sk-SK"/>
        </w:rPr>
        <w:tab/>
      </w:r>
      <w:r w:rsidR="000059C6"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sym w:font="Symbol" w:char="F05B"/>
      </w:r>
      <w:r w:rsidR="000059C6"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="000059C6"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sym w:font="Symbol" w:char="F05D"/>
      </w:r>
    </w:p>
    <w:p w14:paraId="0000002B" w14:textId="77777777" w:rsidR="00C10060" w:rsidRPr="000059C6" w:rsidRDefault="006A7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5"/>
        </w:tabs>
        <w:spacing w:line="216" w:lineRule="auto"/>
        <w:rPr>
          <w:rFonts w:ascii="Arial" w:eastAsia="Arial" w:hAnsi="Arial" w:cs="Arial"/>
          <w:sz w:val="22"/>
          <w:szCs w:val="22"/>
          <w:lang w:val="sk-SK"/>
        </w:rPr>
      </w:pPr>
      <w:r w:rsidRPr="000059C6">
        <w:rPr>
          <w:rFonts w:ascii="Arial" w:eastAsia="Arial" w:hAnsi="Arial" w:cs="Arial"/>
          <w:sz w:val="22"/>
          <w:szCs w:val="22"/>
          <w:lang w:val="sk-SK"/>
        </w:rPr>
        <w:tab/>
        <w:t>(ďalej len „</w:t>
      </w:r>
      <w:r w:rsidRPr="000059C6">
        <w:rPr>
          <w:rFonts w:ascii="Arial" w:eastAsia="Arial" w:hAnsi="Arial" w:cs="Arial"/>
          <w:b/>
          <w:sz w:val="22"/>
          <w:szCs w:val="22"/>
          <w:lang w:val="sk-SK"/>
        </w:rPr>
        <w:t>spoločník 2</w:t>
      </w:r>
      <w:r w:rsidRPr="000059C6">
        <w:rPr>
          <w:rFonts w:ascii="Arial" w:eastAsia="Arial" w:hAnsi="Arial" w:cs="Arial"/>
          <w:sz w:val="22"/>
          <w:szCs w:val="22"/>
          <w:lang w:val="sk-SK"/>
        </w:rPr>
        <w:t>“)</w:t>
      </w:r>
    </w:p>
    <w:p w14:paraId="0000002C" w14:textId="77777777" w:rsidR="00C10060" w:rsidRDefault="00C10060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56BB6FE3" w14:textId="1A1107FE" w:rsidR="009037DA" w:rsidRDefault="009037DA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lang w:val="sk-SK"/>
        </w:rPr>
        <w:t>a</w:t>
      </w:r>
    </w:p>
    <w:p w14:paraId="489F2BB8" w14:textId="77777777" w:rsidR="009037DA" w:rsidRPr="000059C6" w:rsidRDefault="009037DA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4DF6342E" w14:textId="793CAA1D" w:rsidR="000059C6" w:rsidRPr="000059C6" w:rsidRDefault="000059C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sym w:font="Symbol" w:char="F05B"/>
      </w: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0059C6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sym w:font="Symbol" w:char="F05D"/>
      </w:r>
    </w:p>
    <w:p w14:paraId="14731F87" w14:textId="77777777" w:rsidR="009037DA" w:rsidRPr="000059C6" w:rsidRDefault="009037DA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37" w14:textId="5B9DCD5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(</w:t>
      </w:r>
      <w:r w:rsidR="000059C6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všetci spoločníci 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ďalej spol</w:t>
      </w:r>
      <w:r w:rsidR="000059C6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očne len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„</w:t>
      </w: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spoloční</w:t>
      </w:r>
      <w:r w:rsidR="000059C6"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ci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“</w:t>
      </w:r>
      <w:r w:rsidR="000059C6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a každý jednotlivo len „</w:t>
      </w:r>
      <w:r w:rsidR="000059C6" w:rsidRPr="000059C6">
        <w:rPr>
          <w:rFonts w:ascii="Arial" w:eastAsia="Arial" w:hAnsi="Arial" w:cs="Arial"/>
          <w:b/>
          <w:bCs/>
          <w:color w:val="000000"/>
          <w:sz w:val="22"/>
          <w:szCs w:val="22"/>
          <w:lang w:val="sk-SK"/>
        </w:rPr>
        <w:t>spoločník</w:t>
      </w:r>
      <w:r w:rsidR="000059C6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“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)</w:t>
      </w:r>
    </w:p>
    <w:p w14:paraId="76FA0617" w14:textId="77777777" w:rsidR="000059C6" w:rsidRPr="000059C6" w:rsidRDefault="000059C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59999894" w14:textId="2BAF88F4" w:rsidR="000059C6" w:rsidRPr="000059C6" w:rsidRDefault="000059C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Spoločníci uzavretím</w:t>
      </w:r>
      <w:r w:rsidR="009037DA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alebo pristúpením k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tejto spoločenskej zmluv</w:t>
      </w:r>
      <w:r w:rsidR="00373EB9">
        <w:rPr>
          <w:rFonts w:ascii="Arial" w:eastAsia="Arial" w:hAnsi="Arial" w:cs="Arial"/>
          <w:color w:val="000000"/>
          <w:sz w:val="22"/>
          <w:szCs w:val="22"/>
          <w:lang w:val="sk-SK"/>
        </w:rPr>
        <w:t>e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potvrdzujú, že ich osobné údaje uvedené vyššie sú aktuálne a správne. Ak je bydlisko niektorého zo spoločníkov v zahraničí, potom príslušný spoločník uzavretím</w:t>
      </w:r>
      <w:r w:rsidR="009037DA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alebo pristúpením k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tejto spoločenskej zmluv</w:t>
      </w:r>
      <w:r w:rsidR="00373EB9">
        <w:rPr>
          <w:rFonts w:ascii="Arial" w:eastAsia="Arial" w:hAnsi="Arial" w:cs="Arial"/>
          <w:color w:val="000000"/>
          <w:sz w:val="22"/>
          <w:szCs w:val="22"/>
          <w:lang w:val="sk-SK"/>
        </w:rPr>
        <w:t>e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prehlasuje, že je zahraničnou osobou, ktorej osobné údaje uvedené vyššie sú aktuálne a správne,</w:t>
      </w:r>
    </w:p>
    <w:p w14:paraId="0000003A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3B" w14:textId="13A8FF45" w:rsidR="00C10060" w:rsidRPr="000059C6" w:rsidRDefault="006A7CA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Práva a povinnosti každého spoločníka sa riadia ustanoveniami tejto spoločenskej zmluvy</w:t>
      </w:r>
      <w:r w:rsidR="00893D76">
        <w:rPr>
          <w:rFonts w:ascii="Arial" w:eastAsia="Arial" w:hAnsi="Arial" w:cs="Arial"/>
          <w:color w:val="000000"/>
          <w:sz w:val="22"/>
          <w:szCs w:val="22"/>
          <w:lang w:val="sk-SK"/>
        </w:rPr>
        <w:t>, osobitnej dohody medzi spoločníkmi, ak bola alebo ak bude</w:t>
      </w:r>
      <w:r w:rsidR="0094773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za trvania spoločnosti</w:t>
      </w:r>
      <w:r w:rsidR="00893D7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uzavretá,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a príslušnými ustanoveniami zákona č. 513/1991 Zb., obchodný zákonník, v znení neskorších predpisov (ďalej len „</w:t>
      </w:r>
      <w:proofErr w:type="spellStart"/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ObchZ</w:t>
      </w:r>
      <w:proofErr w:type="spellEnd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“).</w:t>
      </w:r>
    </w:p>
    <w:p w14:paraId="0000003C" w14:textId="77777777" w:rsidR="00C10060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6D107F2C" w14:textId="77777777" w:rsidR="000059C6" w:rsidRPr="000059C6" w:rsidRDefault="000059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3D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III.</w:t>
      </w:r>
    </w:p>
    <w:p w14:paraId="0000003E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Predmet činnosti spoločnosti</w:t>
      </w:r>
    </w:p>
    <w:p w14:paraId="0000003F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40" w14:textId="280E7485" w:rsidR="00C10060" w:rsidRPr="000059C6" w:rsidRDefault="006A7CAC" w:rsidP="00A5169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Predmetom činnosti spoločnosti je:</w:t>
      </w:r>
    </w:p>
    <w:p w14:paraId="00000041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42" w14:textId="064E613A" w:rsidR="00C10060" w:rsidRPr="000059C6" w:rsidRDefault="006A7C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Kúpa tovaru na účely jeho predaja konečnému spotrebiteľovi (maloobchod) alebo iným prevádzkovateľom živnosti (veľkoobchod)</w:t>
      </w:r>
      <w:r w:rsidR="006C4A6E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sym w:font="Symbol" w:char="F03B"/>
      </w:r>
    </w:p>
    <w:p w14:paraId="1087643D" w14:textId="53FA5BB4" w:rsidR="001E1AF6" w:rsidRPr="000059C6" w:rsidRDefault="006A7CAC" w:rsidP="001E1A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lastRenderedPageBreak/>
        <w:t>Sprostredkovateľská činnosť v oblasti obchodu, služieb a výroby</w:t>
      </w:r>
      <w:r w:rsidR="006C4A6E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sym w:font="Symbol" w:char="F03B"/>
      </w:r>
    </w:p>
    <w:p w14:paraId="3EAC3505" w14:textId="282FAAB1" w:rsidR="001E1AF6" w:rsidRPr="000059C6" w:rsidRDefault="001E1AF6" w:rsidP="001E1A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Činnosť podnikateľských, organizačných a ekonomických poradcov</w:t>
      </w:r>
      <w:r w:rsidR="006C4A6E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sym w:font="Symbol" w:char="F03B"/>
      </w:r>
    </w:p>
    <w:p w14:paraId="01EEE4BB" w14:textId="47B41A59" w:rsidR="001E1AF6" w:rsidRPr="000059C6" w:rsidRDefault="001E1AF6" w:rsidP="001E1A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Prenájom nehnuteľností spojený s poskytovaním iných než základných služieb spojených s prenájmom</w:t>
      </w:r>
      <w:r w:rsidR="006C4A6E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sym w:font="Symbol" w:char="F03B"/>
      </w:r>
    </w:p>
    <w:p w14:paraId="57626DDB" w14:textId="74E72955" w:rsidR="001E1AF6" w:rsidRDefault="001E1AF6" w:rsidP="001E1A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Prenájom, úschova a požičiavanie hnuteľných vecí</w:t>
      </w:r>
      <w:r w:rsidR="00A849D9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.</w:t>
      </w:r>
    </w:p>
    <w:p w14:paraId="0270F043" w14:textId="74F9A9EB" w:rsidR="001E1AF6" w:rsidRPr="000059C6" w:rsidRDefault="001E1AF6" w:rsidP="001E1A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4C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4D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IV.</w:t>
      </w:r>
    </w:p>
    <w:p w14:paraId="0000004E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Základné imanie spoločnosti a vklady spoločníkov</w:t>
      </w:r>
    </w:p>
    <w:p w14:paraId="0000004F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50" w14:textId="22517A3B" w:rsidR="00C10060" w:rsidRPr="000059C6" w:rsidRDefault="006A7CA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Základné imanie spoločnosti je </w:t>
      </w:r>
      <w:r w:rsidRPr="000059C6">
        <w:rPr>
          <w:rFonts w:ascii="Arial" w:eastAsia="Arial" w:hAnsi="Arial" w:cs="Arial"/>
          <w:b/>
          <w:bCs/>
          <w:color w:val="000000"/>
          <w:sz w:val="22"/>
          <w:szCs w:val="22"/>
          <w:highlight w:val="yellow"/>
          <w:lang w:val="sk-SK"/>
        </w:rPr>
        <w:t>5.000,- EUR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(slovom: päťtisíc eur</w:t>
      </w:r>
      <w:r w:rsidR="000059C6">
        <w:rPr>
          <w:rFonts w:ascii="Arial" w:eastAsia="Arial" w:hAnsi="Arial" w:cs="Arial"/>
          <w:color w:val="000000"/>
          <w:sz w:val="22"/>
          <w:szCs w:val="22"/>
          <w:lang w:val="sk-SK"/>
        </w:rPr>
        <w:t>o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).</w:t>
      </w:r>
    </w:p>
    <w:p w14:paraId="00000051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52" w14:textId="6E2B0EB8" w:rsidR="00C10060" w:rsidRPr="00D320CC" w:rsidRDefault="006A7CA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Základné imanie spoločnosti je tvorené peňažnými vkladmi </w:t>
      </w:r>
      <w:r w:rsid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spoločníkov v nasledovných </w:t>
      </w:r>
      <w:r w:rsidR="000059C6"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>výškach:</w:t>
      </w:r>
    </w:p>
    <w:p w14:paraId="00000053" w14:textId="77777777" w:rsidR="00C10060" w:rsidRPr="00D320CC" w:rsidRDefault="00C1006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18365CE1" w14:textId="68078BE5" w:rsidR="000059C6" w:rsidRPr="00D320CC" w:rsidRDefault="006A7CAC" w:rsidP="000059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>spoločník 1</w:t>
      </w:r>
      <w:r w:rsidR="000059C6"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: </w:t>
      </w:r>
      <w:r w:rsidR="000059C6"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="000059C6"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="000059C6"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  <w:r w:rsidR="00D320CC" w:rsidRPr="00D320CC">
        <w:rPr>
          <w:rFonts w:ascii="Arial" w:eastAsia="Arial" w:hAnsi="Arial" w:cs="Arial"/>
          <w:sz w:val="22"/>
          <w:szCs w:val="22"/>
        </w:rPr>
        <w:t xml:space="preserve">,- EUR </w:t>
      </w:r>
      <w:r w:rsidR="00D320CC"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(slovom: </w:t>
      </w:r>
      <w:r w:rsidR="00D320CC"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="00D320CC"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="00D320CC"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  <w:r w:rsidR="00D320CC" w:rsidRPr="00D320CC">
        <w:rPr>
          <w:rFonts w:ascii="Arial" w:eastAsia="Arial" w:hAnsi="Arial" w:cs="Arial"/>
          <w:sz w:val="22"/>
          <w:szCs w:val="22"/>
        </w:rPr>
        <w:t xml:space="preserve"> </w:t>
      </w:r>
      <w:r w:rsidR="00D320CC"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>euro)</w:t>
      </w:r>
    </w:p>
    <w:p w14:paraId="00000055" w14:textId="048EBF9D" w:rsidR="00C10060" w:rsidRPr="00D320CC" w:rsidRDefault="000059C6" w:rsidP="000059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spoločník 2: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  <w:r w:rsidR="00D320CC" w:rsidRPr="00D320CC">
        <w:rPr>
          <w:rFonts w:ascii="Arial" w:eastAsia="Arial" w:hAnsi="Arial" w:cs="Arial"/>
          <w:sz w:val="22"/>
          <w:szCs w:val="22"/>
        </w:rPr>
        <w:t xml:space="preserve">,- EUR </w:t>
      </w:r>
      <w:r w:rsidR="00D320CC"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(slovom: </w:t>
      </w:r>
      <w:r w:rsidR="00D320CC"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="00D320CC"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="00D320CC"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  <w:r w:rsidR="00D320CC" w:rsidRPr="00D320CC">
        <w:rPr>
          <w:rFonts w:ascii="Arial" w:eastAsia="Arial" w:hAnsi="Arial" w:cs="Arial"/>
          <w:sz w:val="22"/>
          <w:szCs w:val="22"/>
        </w:rPr>
        <w:t xml:space="preserve"> </w:t>
      </w:r>
      <w:r w:rsidR="00D320CC"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>euro)</w:t>
      </w:r>
    </w:p>
    <w:p w14:paraId="093498D1" w14:textId="41D74532" w:rsidR="00D320CC" w:rsidRPr="00D320CC" w:rsidRDefault="00D320CC" w:rsidP="000059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</w:p>
    <w:p w14:paraId="00000057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58" w14:textId="0B02EB0C" w:rsidR="00C10060" w:rsidRPr="000059C6" w:rsidRDefault="00BD6FB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lang w:val="sk-SK"/>
        </w:rPr>
        <w:t>Každý p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eňažný vklad do základného imania spoločnosti 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musí byť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v plnom rozsahu splatený pred podaním návrhu na zápis spoločnosti do obchodného registra.</w:t>
      </w:r>
    </w:p>
    <w:p w14:paraId="00000059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5C" w14:textId="7D7B775C" w:rsidR="00C10060" w:rsidRPr="00BD6FBA" w:rsidRDefault="00BD6FBA" w:rsidP="00BD6FB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lang w:val="sk-SK"/>
        </w:rPr>
        <w:t>Každý p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eňažný vklad do základného imania spoločnosti 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musí byť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odovzdaný v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 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hotovosti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k rukám spoločníka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Pr="00BD6FBA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  <w:r w:rsidR="006A7CAC" w:rsidRPr="00BD6FBA">
        <w:rPr>
          <w:rFonts w:ascii="Arial" w:eastAsia="Arial" w:hAnsi="Arial" w:cs="Arial"/>
          <w:color w:val="000000"/>
          <w:sz w:val="22"/>
          <w:szCs w:val="22"/>
          <w:lang w:val="sk-SK"/>
        </w:rPr>
        <w:t>, ktor</w:t>
      </w:r>
      <w:r w:rsidRPr="00BD6FBA">
        <w:rPr>
          <w:rFonts w:ascii="Arial" w:eastAsia="Arial" w:hAnsi="Arial" w:cs="Arial"/>
          <w:color w:val="000000"/>
          <w:sz w:val="22"/>
          <w:szCs w:val="22"/>
          <w:lang w:val="sk-SK"/>
        </w:rPr>
        <w:t>ý bol</w:t>
      </w:r>
      <w:r w:rsidR="006A7CAC" w:rsidRPr="00BD6FBA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v súlade s </w:t>
      </w:r>
      <w:proofErr w:type="spellStart"/>
      <w:r w:rsidR="006A7CAC" w:rsidRPr="00BD6FBA">
        <w:rPr>
          <w:rFonts w:ascii="Arial" w:eastAsia="Arial" w:hAnsi="Arial" w:cs="Arial"/>
          <w:color w:val="000000"/>
          <w:sz w:val="22"/>
          <w:szCs w:val="22"/>
          <w:lang w:val="sk-SK"/>
        </w:rPr>
        <w:t>ust</w:t>
      </w:r>
      <w:proofErr w:type="spellEnd"/>
      <w:r w:rsidR="006A7CAC" w:rsidRPr="00BD6FBA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. § 60 </w:t>
      </w:r>
      <w:proofErr w:type="spellStart"/>
      <w:r w:rsidR="006A7CAC" w:rsidRPr="00BD6FBA">
        <w:rPr>
          <w:rFonts w:ascii="Arial" w:eastAsia="Arial" w:hAnsi="Arial" w:cs="Arial"/>
          <w:color w:val="000000"/>
          <w:sz w:val="22"/>
          <w:szCs w:val="22"/>
          <w:lang w:val="sk-SK"/>
        </w:rPr>
        <w:t>ObchZ</w:t>
      </w:r>
      <w:proofErr w:type="spellEnd"/>
      <w:r w:rsidR="006A7CAC" w:rsidRPr="00BD6FBA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určen</w:t>
      </w:r>
      <w:r w:rsidR="000059C6" w:rsidRPr="00BD6FBA">
        <w:rPr>
          <w:rFonts w:ascii="Arial" w:eastAsia="Arial" w:hAnsi="Arial" w:cs="Arial"/>
          <w:color w:val="000000"/>
          <w:sz w:val="22"/>
          <w:szCs w:val="22"/>
          <w:lang w:val="sk-SK"/>
        </w:rPr>
        <w:t>ý</w:t>
      </w:r>
      <w:r w:rsidR="006A7CAC" w:rsidRPr="00BD6FBA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za správcu vkladov, a to do 30 dní od podpisu tejto spoločenskej zmluvy.</w:t>
      </w:r>
    </w:p>
    <w:p w14:paraId="0000005D" w14:textId="77777777" w:rsidR="00C10060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B8E3EC1" w14:textId="77777777" w:rsidR="000059C6" w:rsidRPr="000059C6" w:rsidRDefault="000059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5E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V.</w:t>
      </w:r>
    </w:p>
    <w:p w14:paraId="0000005F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Obchodný podiel</w:t>
      </w:r>
    </w:p>
    <w:p w14:paraId="00000060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58BCC28" w14:textId="63968231" w:rsidR="00D320CC" w:rsidRDefault="006A7CA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Obchodný podiel predstavuje práva a povinnosti spoločníka a im zodpovedajúcu účasť na spoločnosti.</w:t>
      </w:r>
      <w:r w:rsidR="008D1521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Každý spoločník môže mať len jeden obchodný podiel.</w:t>
      </w:r>
    </w:p>
    <w:p w14:paraId="79A90B28" w14:textId="77777777" w:rsidR="00D320CC" w:rsidRDefault="00D320C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82B26DE" w14:textId="3CFDAFD0" w:rsidR="00D320CC" w:rsidRPr="00D320CC" w:rsidRDefault="00D320C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highlight w:val="green"/>
          <w:lang w:val="sk-SK"/>
        </w:rPr>
      </w:pPr>
      <w:r w:rsidRPr="00D320CC">
        <w:rPr>
          <w:rFonts w:ascii="Arial" w:eastAsia="Arial" w:hAnsi="Arial" w:cs="Arial"/>
          <w:b/>
          <w:bCs/>
          <w:color w:val="000000"/>
          <w:sz w:val="22"/>
          <w:szCs w:val="22"/>
          <w:highlight w:val="green"/>
          <w:lang w:val="sk-SK"/>
        </w:rPr>
        <w:t>ALTERNATÍVA 1:</w:t>
      </w:r>
      <w:r>
        <w:rPr>
          <w:rFonts w:ascii="Arial" w:eastAsia="Arial" w:hAnsi="Arial" w:cs="Arial"/>
          <w:b/>
          <w:bCs/>
          <w:color w:val="000000"/>
          <w:sz w:val="22"/>
          <w:szCs w:val="22"/>
          <w:highlight w:val="green"/>
          <w:lang w:val="sk-SK"/>
        </w:rPr>
        <w:t xml:space="preserve"> OBCHODNÉ PODIELY ZODPOVEDAJÚ VKLADOM DO IMANIA</w:t>
      </w:r>
    </w:p>
    <w:p w14:paraId="0DAA44EA" w14:textId="77777777" w:rsidR="00D320CC" w:rsidRPr="00D320CC" w:rsidRDefault="00D320C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highlight w:val="green"/>
          <w:lang w:val="sk-SK"/>
        </w:rPr>
      </w:pPr>
    </w:p>
    <w:p w14:paraId="7318FBD3" w14:textId="77777777" w:rsidR="00D320CC" w:rsidRPr="00D320CC" w:rsidRDefault="006A7CA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highlight w:val="green"/>
          <w:lang w:val="sk-SK"/>
        </w:rPr>
      </w:pPr>
      <w:r w:rsidRPr="00D320CC">
        <w:rPr>
          <w:rFonts w:ascii="Arial" w:eastAsia="Arial" w:hAnsi="Arial" w:cs="Arial"/>
          <w:color w:val="000000"/>
          <w:sz w:val="22"/>
          <w:szCs w:val="22"/>
          <w:highlight w:val="green"/>
          <w:lang w:val="sk-SK"/>
        </w:rPr>
        <w:t>Výška obchodného podielu</w:t>
      </w:r>
      <w:r w:rsidR="00D320CC" w:rsidRPr="00D320CC">
        <w:rPr>
          <w:rFonts w:ascii="Arial" w:eastAsia="Arial" w:hAnsi="Arial" w:cs="Arial"/>
          <w:color w:val="000000"/>
          <w:sz w:val="22"/>
          <w:szCs w:val="22"/>
          <w:highlight w:val="green"/>
          <w:lang w:val="sk-SK"/>
        </w:rPr>
        <w:t xml:space="preserve"> každého</w:t>
      </w:r>
      <w:r w:rsidRPr="00D320CC">
        <w:rPr>
          <w:rFonts w:ascii="Arial" w:eastAsia="Arial" w:hAnsi="Arial" w:cs="Arial"/>
          <w:color w:val="000000"/>
          <w:sz w:val="22"/>
          <w:szCs w:val="22"/>
          <w:highlight w:val="green"/>
          <w:lang w:val="sk-SK"/>
        </w:rPr>
        <w:t xml:space="preserve"> spoločníka zodpovedá výške jeho vkladu do základného imania spoločnosti</w:t>
      </w:r>
      <w:r w:rsidR="00D320CC" w:rsidRPr="00D320CC">
        <w:rPr>
          <w:rFonts w:ascii="Arial" w:eastAsia="Arial" w:hAnsi="Arial" w:cs="Arial"/>
          <w:color w:val="000000"/>
          <w:sz w:val="22"/>
          <w:szCs w:val="22"/>
          <w:highlight w:val="green"/>
          <w:lang w:val="sk-SK"/>
        </w:rPr>
        <w:t xml:space="preserve"> v pomere hodnota vkladu / hodnota základného imania spoločnosti</w:t>
      </w:r>
      <w:r w:rsidRPr="00D320CC">
        <w:rPr>
          <w:rFonts w:ascii="Arial" w:eastAsia="Arial" w:hAnsi="Arial" w:cs="Arial"/>
          <w:color w:val="000000"/>
          <w:sz w:val="22"/>
          <w:szCs w:val="22"/>
          <w:highlight w:val="green"/>
          <w:lang w:val="sk-SK"/>
        </w:rPr>
        <w:t>.</w:t>
      </w:r>
    </w:p>
    <w:p w14:paraId="2AC3CA59" w14:textId="77777777" w:rsidR="00D320CC" w:rsidRPr="00D320CC" w:rsidRDefault="00D320C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highlight w:val="green"/>
          <w:lang w:val="sk-SK"/>
        </w:rPr>
      </w:pPr>
    </w:p>
    <w:p w14:paraId="00000061" w14:textId="0D0ABE9F" w:rsidR="00C10060" w:rsidRDefault="00D320C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color w:val="000000"/>
          <w:sz w:val="22"/>
          <w:szCs w:val="22"/>
          <w:highlight w:val="green"/>
          <w:lang w:val="sk-SK"/>
        </w:rPr>
        <w:t>Obchodné podiely jednotlivých spoločníkov sú teda nasledovné: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</w:t>
      </w:r>
    </w:p>
    <w:p w14:paraId="02463FCC" w14:textId="77777777" w:rsidR="00D320CC" w:rsidRDefault="00D320C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6BC515D3" w14:textId="7836C1A6" w:rsidR="00D320CC" w:rsidRPr="00D320CC" w:rsidRDefault="00D320CC" w:rsidP="00D320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spoločník 1: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  <w:r>
        <w:rPr>
          <w:rFonts w:ascii="Arial" w:eastAsia="Arial" w:hAnsi="Arial" w:cs="Arial"/>
          <w:sz w:val="22"/>
          <w:szCs w:val="22"/>
        </w:rPr>
        <w:t xml:space="preserve"> %</w:t>
      </w:r>
    </w:p>
    <w:p w14:paraId="02E336DE" w14:textId="5DC31F7D" w:rsidR="00D320CC" w:rsidRPr="00D320CC" w:rsidRDefault="00D320CC" w:rsidP="00D320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spoločník 2: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  <w:r>
        <w:rPr>
          <w:rFonts w:ascii="Arial" w:eastAsia="Arial" w:hAnsi="Arial" w:cs="Arial"/>
          <w:sz w:val="22"/>
          <w:szCs w:val="22"/>
        </w:rPr>
        <w:t xml:space="preserve"> %</w:t>
      </w:r>
    </w:p>
    <w:p w14:paraId="09AA77DD" w14:textId="0016AFAB" w:rsidR="00D320CC" w:rsidRPr="00D320CC" w:rsidRDefault="00D320CC" w:rsidP="00D320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</w:p>
    <w:p w14:paraId="00000062" w14:textId="77777777" w:rsidR="00C10060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55D3456D" w14:textId="32C02328" w:rsidR="00D320CC" w:rsidRPr="00D320CC" w:rsidRDefault="00D320C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highlight w:val="cyan"/>
          <w:lang w:val="sk-SK"/>
        </w:rPr>
      </w:pPr>
      <w:r w:rsidRPr="00D320CC">
        <w:rPr>
          <w:rFonts w:ascii="Arial" w:eastAsia="Arial" w:hAnsi="Arial" w:cs="Arial"/>
          <w:b/>
          <w:bCs/>
          <w:color w:val="000000"/>
          <w:sz w:val="22"/>
          <w:szCs w:val="22"/>
          <w:highlight w:val="cyan"/>
          <w:lang w:val="sk-SK"/>
        </w:rPr>
        <w:t>ALTERNATÍVA 2: OBCHODNÉ PODIELY NEZODPOVEDAJÚ VKLADOM DO IMANIA</w:t>
      </w:r>
    </w:p>
    <w:p w14:paraId="251B5319" w14:textId="77777777" w:rsidR="00D320CC" w:rsidRPr="00D320CC" w:rsidRDefault="00D320C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highlight w:val="cyan"/>
          <w:lang w:val="sk-SK"/>
        </w:rPr>
      </w:pPr>
    </w:p>
    <w:p w14:paraId="244F9A29" w14:textId="22D742D9" w:rsidR="00D320CC" w:rsidRPr="00D320CC" w:rsidRDefault="00D320C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highlight w:val="cyan"/>
          <w:lang w:val="sk-SK"/>
        </w:rPr>
      </w:pPr>
      <w:r w:rsidRPr="00D320CC">
        <w:rPr>
          <w:rFonts w:ascii="Arial" w:eastAsia="Arial" w:hAnsi="Arial" w:cs="Arial"/>
          <w:color w:val="000000"/>
          <w:sz w:val="22"/>
          <w:szCs w:val="22"/>
          <w:highlight w:val="cyan"/>
          <w:lang w:val="sk-SK"/>
        </w:rPr>
        <w:t>Výška obchodného podielu každého spoločníka nezodpovedá výške jeho vkladu do základného imania spoločnosti. Spoločníci spoločnosti sa dohodli, že ich obchodné podiely budú nasledovné:</w:t>
      </w:r>
    </w:p>
    <w:p w14:paraId="1CD9D397" w14:textId="77777777" w:rsidR="00D320CC" w:rsidRDefault="00D320CC" w:rsidP="00D320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highlight w:val="green"/>
          <w:lang w:val="sk-SK"/>
        </w:rPr>
      </w:pPr>
    </w:p>
    <w:p w14:paraId="6006B6A0" w14:textId="77777777" w:rsidR="00D320CC" w:rsidRPr="00D320CC" w:rsidRDefault="00D320CC" w:rsidP="00D320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spoločník 1: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  <w:r>
        <w:rPr>
          <w:rFonts w:ascii="Arial" w:eastAsia="Arial" w:hAnsi="Arial" w:cs="Arial"/>
          <w:sz w:val="22"/>
          <w:szCs w:val="22"/>
        </w:rPr>
        <w:t xml:space="preserve"> %</w:t>
      </w:r>
    </w:p>
    <w:p w14:paraId="7C990644" w14:textId="77777777" w:rsidR="00D320CC" w:rsidRPr="00D320CC" w:rsidRDefault="00D320CC" w:rsidP="00D320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spoločník 2: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  <w:r>
        <w:rPr>
          <w:rFonts w:ascii="Arial" w:eastAsia="Arial" w:hAnsi="Arial" w:cs="Arial"/>
          <w:sz w:val="22"/>
          <w:szCs w:val="22"/>
        </w:rPr>
        <w:t xml:space="preserve"> %</w:t>
      </w:r>
    </w:p>
    <w:p w14:paraId="15925F5C" w14:textId="77777777" w:rsidR="00D320CC" w:rsidRPr="00D320CC" w:rsidRDefault="00D320CC" w:rsidP="00D320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Pr="00D320CC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</w:p>
    <w:p w14:paraId="684262C0" w14:textId="77777777" w:rsidR="00D320CC" w:rsidRPr="000059C6" w:rsidRDefault="00D320CC" w:rsidP="00D320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63" w14:textId="38A85D99" w:rsidR="00C10060" w:rsidRPr="000059C6" w:rsidRDefault="006A7CA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 xml:space="preserve">Obchodný podiel </w:t>
      </w:r>
      <w:r w:rsidR="00D320CC" w:rsidRPr="00D320CC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 xml:space="preserve">spoločníka </w:t>
      </w:r>
      <w:r w:rsidRPr="00D320CC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sa dedí</w:t>
      </w:r>
      <w:r w:rsidR="00D320CC" w:rsidRPr="00D320CC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.</w:t>
      </w:r>
    </w:p>
    <w:p w14:paraId="00000064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65" w14:textId="4B87C2F2" w:rsidR="00C10060" w:rsidRDefault="006A7CA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lastRenderedPageBreak/>
        <w:t xml:space="preserve">Spoločník môže previesť svoj obchodný podiel alebo jeho časť na iného spoločníka </w:t>
      </w:r>
      <w:r w:rsidRPr="00580D36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aj bez súhlasu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</w:t>
      </w:r>
      <w:r w:rsidR="00580D3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/ </w:t>
      </w:r>
      <w:r w:rsidR="00580D36" w:rsidRPr="00580D36">
        <w:rPr>
          <w:rFonts w:ascii="Arial" w:eastAsia="Arial" w:hAnsi="Arial" w:cs="Arial"/>
          <w:color w:val="000000"/>
          <w:sz w:val="22"/>
          <w:szCs w:val="22"/>
          <w:highlight w:val="cyan"/>
          <w:lang w:val="sk-SK"/>
        </w:rPr>
        <w:t>len so súhlasom</w:t>
      </w:r>
      <w:r w:rsidR="00580D3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valného zhromaždenia. Prevod obchodného podielu alebo jeho časti na inú osobu, než spoločníka,</w:t>
      </w:r>
      <w:r w:rsidR="002270BB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je možný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</w:t>
      </w:r>
      <w:r w:rsidR="002270BB" w:rsidRPr="00580D36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aj bez súhlasu</w:t>
      </w:r>
      <w:r w:rsidR="002270BB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</w:t>
      </w:r>
      <w:r w:rsidR="002270BB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/ </w:t>
      </w:r>
      <w:r w:rsidR="002270BB" w:rsidRPr="00580D36">
        <w:rPr>
          <w:rFonts w:ascii="Arial" w:eastAsia="Arial" w:hAnsi="Arial" w:cs="Arial"/>
          <w:color w:val="000000"/>
          <w:sz w:val="22"/>
          <w:szCs w:val="22"/>
          <w:highlight w:val="cyan"/>
          <w:lang w:val="sk-SK"/>
        </w:rPr>
        <w:t>len so súhlasom</w:t>
      </w:r>
      <w:r w:rsidR="002270BB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</w:t>
      </w:r>
      <w:r w:rsidR="002270BB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valného zhromaždenia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</w:p>
    <w:p w14:paraId="57B7DEB8" w14:textId="77777777" w:rsidR="008D1521" w:rsidRDefault="008D1521" w:rsidP="008D1521">
      <w:pPr>
        <w:pStyle w:val="Odsekzoznamu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429E8DEF" w14:textId="034B933B" w:rsidR="008D1521" w:rsidRDefault="008D152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8D1521">
        <w:rPr>
          <w:rFonts w:ascii="Arial" w:eastAsia="Arial" w:hAnsi="Arial" w:cs="Arial"/>
          <w:color w:val="000000"/>
          <w:sz w:val="22"/>
          <w:szCs w:val="22"/>
          <w:lang w:val="sk-SK"/>
        </w:rPr>
        <w:t>Na obchodný podiel možno zriadiť záložné právo. Záložné právo na obchodný podiel sa zriaďuje na základe písomnej záložnej zmluvy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, pričom na zriadenie záložného práva sa vyžaduje súhlas valného zhromaždenia.</w:t>
      </w:r>
    </w:p>
    <w:p w14:paraId="020C654D" w14:textId="77777777" w:rsidR="00D413A4" w:rsidRDefault="00D413A4" w:rsidP="00D413A4">
      <w:pPr>
        <w:pStyle w:val="Odsekzoznamu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61C2D8E" w14:textId="7922D3FE" w:rsidR="00D413A4" w:rsidRPr="00C879DC" w:rsidRDefault="00D413A4" w:rsidP="00D413A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C879DC">
        <w:rPr>
          <w:rFonts w:ascii="Arial" w:eastAsia="Arial" w:hAnsi="Arial" w:cs="Arial"/>
          <w:color w:val="000000"/>
          <w:sz w:val="22"/>
          <w:szCs w:val="22"/>
          <w:lang w:val="sk-SK"/>
        </w:rPr>
        <w:t>Spoločníci dohodli predkupné právo pre každú formu prevodu, a teda najmä pre</w:t>
      </w:r>
      <w:r w:rsidR="00C879D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darovanie,</w:t>
      </w:r>
      <w:r w:rsidRPr="00C879D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predaj</w:t>
      </w:r>
      <w:r w:rsidR="00C879D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či</w:t>
      </w:r>
      <w:r w:rsidRPr="00C879D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výmenu obchodného podielu alebo jeho časti.</w:t>
      </w:r>
    </w:p>
    <w:p w14:paraId="00B273A0" w14:textId="77777777" w:rsidR="000059C6" w:rsidRDefault="000059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4C22FB92" w14:textId="77777777" w:rsidR="00F50C53" w:rsidRPr="000059C6" w:rsidRDefault="00F50C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67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VI.</w:t>
      </w:r>
    </w:p>
    <w:p w14:paraId="00000068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Orgány spoločnosti</w:t>
      </w:r>
    </w:p>
    <w:p w14:paraId="00000069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6A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Spoločnosť má nasledovné orgány:</w:t>
      </w:r>
    </w:p>
    <w:p w14:paraId="0000006B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6C" w14:textId="63639E33" w:rsidR="00C10060" w:rsidRPr="000059C6" w:rsidRDefault="00BD6F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lang w:val="sk-SK"/>
        </w:rPr>
        <w:t>V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alné zhromaždenie</w:t>
      </w:r>
      <w:r w:rsidR="006C4A6E" w:rsidRPr="006C4A6E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6D" w14:textId="7FB8EA82" w:rsidR="00C10060" w:rsidRPr="000059C6" w:rsidRDefault="00BD6F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sz w:val="22"/>
          <w:szCs w:val="22"/>
          <w:lang w:val="sk-SK"/>
        </w:rPr>
        <w:t>K</w:t>
      </w:r>
      <w:r w:rsidR="006A7CAC" w:rsidRPr="000059C6">
        <w:rPr>
          <w:rFonts w:ascii="Arial" w:eastAsia="Arial" w:hAnsi="Arial" w:cs="Arial"/>
          <w:sz w:val="22"/>
          <w:szCs w:val="22"/>
          <w:lang w:val="sk-SK"/>
        </w:rPr>
        <w:t>onate</w:t>
      </w:r>
      <w:r w:rsidR="00D320CC">
        <w:rPr>
          <w:rFonts w:ascii="Arial" w:eastAsia="Arial" w:hAnsi="Arial" w:cs="Arial"/>
          <w:sz w:val="22"/>
          <w:szCs w:val="22"/>
          <w:lang w:val="sk-SK"/>
        </w:rPr>
        <w:t>lia</w:t>
      </w:r>
      <w:r w:rsidR="006C4A6E">
        <w:rPr>
          <w:rFonts w:ascii="Arial" w:eastAsia="Arial" w:hAnsi="Arial" w:cs="Arial"/>
          <w:sz w:val="22"/>
          <w:szCs w:val="22"/>
          <w:lang w:val="sk-SK"/>
        </w:rPr>
        <w:t>.</w:t>
      </w:r>
    </w:p>
    <w:p w14:paraId="0000006E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6F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70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VII.</w:t>
      </w:r>
    </w:p>
    <w:p w14:paraId="00000071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Valné zhromaždenie</w:t>
      </w:r>
    </w:p>
    <w:p w14:paraId="00000072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73" w14:textId="2A39E871" w:rsidR="00C10060" w:rsidRPr="000059C6" w:rsidRDefault="006A7CA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Valné zhromaždenie je najvyšší orgán spoločnosti. Pôsobnosť valného zhromaždenia vykonáva tiež jediný spoločník spoločnosti</w:t>
      </w:r>
      <w:r w:rsidR="00D320CC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v prípade, že spoločnosť nemá viac ako jedného spoločníka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. </w:t>
      </w:r>
    </w:p>
    <w:p w14:paraId="00000074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75" w14:textId="77777777" w:rsidR="00C10060" w:rsidRPr="000059C6" w:rsidRDefault="006A7CA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Do pôsobnosti valného zhromaždenia patrí najmä:</w:t>
      </w:r>
    </w:p>
    <w:p w14:paraId="00000076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77" w14:textId="771ED223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S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chválenie konaní urobených osobami konajúcimi v mene spoločnosti pred jej vznikom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78" w14:textId="74706D91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S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chvaľovanie riadnej individuálnej účtovnej závierky, mimoriadnej individuálnej či konsolidovanej účtovnej závierky a rozhodnutie o</w:t>
      </w:r>
      <w:r w:rsidR="00D320C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 naložení s hospodárskym výsledkom spoločnosti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2E6DE4A8" w14:textId="18284040" w:rsidR="00580D36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Schvaľovanie stanov a ich zmien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79" w14:textId="313D060D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R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ozhodovanie o zmene spoločenskej zmluvy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7A" w14:textId="0D1DFBC4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R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ozhodovanie o zvýšení alebo znížení základného imania a rozhodovanie o nepeňažnom vklade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7B" w14:textId="525035EA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R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ozhodovanie o udelení súhlasu s prevodom alebo rozdelením obchodného podielu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7C" w14:textId="6A31362F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V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ymenovanie, odvolanie a odmeňovanie konateľov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7D" w14:textId="7CF8A3A7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V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ymenovanie, odvolanie a odmeňovanie prokuristov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7E" w14:textId="358D4A34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V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ymenovanie, odvolanie a odmeňovanie členov dozornej rady, ak dôjde k jej zriadeniu</w:t>
      </w:r>
    </w:p>
    <w:p w14:paraId="0000007F" w14:textId="69AB4429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V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ymenovanie, odvolanie a odmeňovanie likvidátora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80" w14:textId="6A62DAE5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R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ozhodovanie o zrušení spoločnosti alebo o jej premene</w:t>
      </w:r>
      <w:r w:rsidR="007B7A2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, ktorá sa touto spoločenskou zmluvou pripúšťa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81" w14:textId="6A7A4326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R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ozhodovanie o schválení zmluvy o predaji podniku alebo zmluvy o predaji časti podniku</w:t>
      </w:r>
    </w:p>
    <w:p w14:paraId="5FA53000" w14:textId="6D7462A6" w:rsidR="000D05E2" w:rsidRPr="00E865D2" w:rsidRDefault="00580D36" w:rsidP="000D0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R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ozhodovanie o schválení výnimky zo zákazu konkurencie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0000083" w14:textId="24F963E1" w:rsidR="00C10060" w:rsidRPr="00E865D2" w:rsidRDefault="00580D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R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ozhodovanie o ďalších </w:t>
      </w:r>
      <w:r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otázkach</w:t>
      </w:r>
      <w:r w:rsidR="006A7CAC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, ktoré do pôsobnosti valného zhromaždenia zveruje zákon alebo spoločenská zmluva, alebo kedy si valné zhromaždenie rozhodovanie o nich vyhradila</w:t>
      </w:r>
      <w:r w:rsidR="006C4A6E" w:rsidRPr="00E865D2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</w:p>
    <w:p w14:paraId="00000084" w14:textId="77777777" w:rsidR="00C10060" w:rsidRPr="000059C6" w:rsidRDefault="00C10060" w:rsidP="003A130A">
      <w:pPr>
        <w:pBdr>
          <w:top w:val="nil"/>
          <w:left w:val="nil"/>
          <w:bottom w:val="nil"/>
          <w:right w:val="nil"/>
          <w:between w:val="nil"/>
        </w:pBdr>
        <w:ind w:left="106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85" w14:textId="2ED369B7" w:rsidR="00C10060" w:rsidRPr="000059C6" w:rsidRDefault="006A7CA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Valné zhromaždenie zvoláva konateľ, a to najmenej jedenkrát ročne</w:t>
      </w:r>
      <w:r w:rsidR="00580D36">
        <w:rPr>
          <w:rFonts w:ascii="Arial" w:eastAsia="Arial" w:hAnsi="Arial" w:cs="Arial"/>
          <w:color w:val="000000"/>
          <w:sz w:val="22"/>
          <w:szCs w:val="22"/>
          <w:lang w:val="sk-SK"/>
        </w:rPr>
        <w:t>, ak táto spoločenská zmluva nestanovuje inak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</w:p>
    <w:p w14:paraId="00000086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87" w14:textId="77777777" w:rsidR="00C10060" w:rsidRPr="000059C6" w:rsidRDefault="006A7CA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Písomne požiadať o zvolanie valného zhromaždenia môže každý spoločník, kedy svoju požiadavku je povinný doručiť spoločnosti vo forme doporučeného listu, resp. e-mailovou 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lastRenderedPageBreak/>
        <w:t>správou. Ak konateľ nezvolá valné zhromaždenie tak, aby sa konalo do jedného (1) mesiaca od doručenia žiadosti spoločníka, je takýto spoločník oprávnený po márnom uplynutí uvedenej lehoty zvolať valné zhromaždenie sám.</w:t>
      </w:r>
    </w:p>
    <w:p w14:paraId="00000088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89" w14:textId="4806A71A" w:rsidR="00C10060" w:rsidRPr="000059C6" w:rsidRDefault="006A7CA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Termín a program valného zhromaždenia je </w:t>
      </w:r>
      <w:r w:rsidR="00580D36">
        <w:rPr>
          <w:rFonts w:ascii="Arial" w:eastAsia="Arial" w:hAnsi="Arial" w:cs="Arial"/>
          <w:color w:val="000000"/>
          <w:sz w:val="22"/>
          <w:szCs w:val="22"/>
          <w:lang w:val="sk-SK"/>
        </w:rPr>
        <w:t>osoba zvolávajúca valné zhromaždenie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povinn</w:t>
      </w:r>
      <w:r w:rsidR="00580D36">
        <w:rPr>
          <w:rFonts w:ascii="Arial" w:eastAsia="Arial" w:hAnsi="Arial" w:cs="Arial"/>
          <w:color w:val="000000"/>
          <w:sz w:val="22"/>
          <w:szCs w:val="22"/>
          <w:lang w:val="sk-SK"/>
        </w:rPr>
        <w:t>á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oznámiť spoločníkom najmenej</w:t>
      </w:r>
      <w:r w:rsidR="00580D3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1</w:t>
      </w:r>
      <w:r w:rsidR="00880E06">
        <w:rPr>
          <w:rFonts w:ascii="Arial" w:eastAsia="Arial" w:hAnsi="Arial" w:cs="Arial"/>
          <w:color w:val="000000"/>
          <w:sz w:val="22"/>
          <w:szCs w:val="22"/>
          <w:lang w:val="sk-SK"/>
        </w:rPr>
        <w:t>5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(</w:t>
      </w:r>
      <w:r w:rsidR="00880E06">
        <w:rPr>
          <w:rFonts w:ascii="Arial" w:eastAsia="Arial" w:hAnsi="Arial" w:cs="Arial"/>
          <w:color w:val="000000"/>
          <w:sz w:val="22"/>
          <w:szCs w:val="22"/>
          <w:lang w:val="sk-SK"/>
        </w:rPr>
        <w:t>pätnásť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) dní pred konaním valného zhromaždenia. Pozvánka sa každému spoločníkovi zašle elektronickou poštou na adresu zapísanú v zozname spoločníkov vedenom konateľom. Ak spoločník takúto adresu nemá, potom sa pozvánka na valné zhromaždenie zasiela doporučene poštou. Pozvánka musí obsahovať termín konania, miesto konania a program valného zhromaždenia.</w:t>
      </w:r>
    </w:p>
    <w:p w14:paraId="0000008A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8B" w14:textId="6F91F89F" w:rsidR="00C10060" w:rsidRDefault="006A7CA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Valné zhromaždenie </w:t>
      </w:r>
      <w:r w:rsidRPr="003D2A20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je uznášaniaschopné, ak je prítomná nadpolovičná väčšina všetkých spoločníkov, pričom </w:t>
      </w:r>
      <w:r w:rsidR="00580D36" w:rsidRPr="003D2A20">
        <w:rPr>
          <w:rFonts w:ascii="Arial" w:eastAsia="Arial" w:hAnsi="Arial" w:cs="Arial"/>
          <w:color w:val="000000"/>
          <w:sz w:val="22"/>
          <w:szCs w:val="22"/>
          <w:lang w:val="sk-SK"/>
        </w:rPr>
        <w:t>na každé 1,- EUR (slovom: jedno euro) z hodnoty vkladu do základného imania spoločnosti spoločníkovi prináleží 1 hlas na valnom zhromaždení</w:t>
      </w:r>
      <w:r w:rsidRPr="003D2A20">
        <w:rPr>
          <w:rFonts w:ascii="Arial" w:eastAsia="Arial" w:hAnsi="Arial" w:cs="Arial"/>
          <w:color w:val="000000"/>
          <w:sz w:val="22"/>
          <w:szCs w:val="22"/>
          <w:lang w:val="sk-SK"/>
        </w:rPr>
        <w:t>. K prijatiu rozhodnutia valného zhromaždenia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sa vyžaduje nadpolovičná väčšina hlasov všetkých spoločníkov prítomných na valnom zhromaždení</w:t>
      </w:r>
      <w:r w:rsidR="00580D36">
        <w:rPr>
          <w:rFonts w:ascii="Arial" w:eastAsia="Arial" w:hAnsi="Arial" w:cs="Arial"/>
          <w:color w:val="000000"/>
          <w:sz w:val="22"/>
          <w:szCs w:val="22"/>
          <w:lang w:val="sk-SK"/>
        </w:rPr>
        <w:t>,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ak </w:t>
      </w:r>
      <w:proofErr w:type="spellStart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ObchZ</w:t>
      </w:r>
      <w:proofErr w:type="spellEnd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nestanovuje inak.</w:t>
      </w:r>
    </w:p>
    <w:p w14:paraId="5F215838" w14:textId="77777777" w:rsidR="00BD71F1" w:rsidRDefault="00BD71F1" w:rsidP="00BD71F1">
      <w:pPr>
        <w:pStyle w:val="Odsekzoznamu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1D424612" w14:textId="77777777" w:rsidR="00BD71F1" w:rsidRPr="00BD71F1" w:rsidRDefault="00BD71F1" w:rsidP="00BD71F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BD71F1">
        <w:rPr>
          <w:rFonts w:ascii="Arial" w:eastAsia="Arial" w:hAnsi="Arial" w:cs="Arial"/>
          <w:color w:val="000000"/>
          <w:sz w:val="22"/>
          <w:szCs w:val="22"/>
          <w:lang w:val="sk-SK"/>
        </w:rPr>
        <w:t>Spoločník nemôže vykonávať hlasovacie právo, ak valné zhromaždenie rozhoduje o jeho:</w:t>
      </w:r>
    </w:p>
    <w:p w14:paraId="1286DF55" w14:textId="77777777" w:rsidR="00BD71F1" w:rsidRPr="00BD71F1" w:rsidRDefault="00BD71F1" w:rsidP="00BD71F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5B327B98" w14:textId="2319DF99" w:rsidR="00BD71F1" w:rsidRPr="00BD71F1" w:rsidRDefault="00BD71F1" w:rsidP="00BD71F1">
      <w:pPr>
        <w:pBdr>
          <w:top w:val="nil"/>
          <w:left w:val="nil"/>
          <w:bottom w:val="nil"/>
          <w:right w:val="nil"/>
          <w:between w:val="nil"/>
        </w:pBdr>
        <w:ind w:left="1134" w:hanging="425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BD71F1">
        <w:rPr>
          <w:rFonts w:ascii="Arial" w:eastAsia="Arial" w:hAnsi="Arial" w:cs="Arial"/>
          <w:color w:val="000000"/>
          <w:sz w:val="22"/>
          <w:szCs w:val="22"/>
          <w:lang w:val="sk-SK"/>
        </w:rPr>
        <w:t>a)</w:t>
      </w:r>
      <w:r w:rsidRPr="00BD71F1">
        <w:rPr>
          <w:rFonts w:ascii="Arial" w:eastAsia="Arial" w:hAnsi="Arial" w:cs="Arial"/>
          <w:color w:val="000000"/>
          <w:sz w:val="22"/>
          <w:szCs w:val="22"/>
          <w:lang w:val="sk-SK"/>
        </w:rPr>
        <w:tab/>
      </w:r>
      <w:r w:rsidR="006C4A6E">
        <w:rPr>
          <w:rFonts w:ascii="Arial" w:eastAsia="Arial" w:hAnsi="Arial" w:cs="Arial"/>
          <w:color w:val="000000"/>
          <w:sz w:val="22"/>
          <w:szCs w:val="22"/>
          <w:lang w:val="sk-SK"/>
        </w:rPr>
        <w:t>N</w:t>
      </w:r>
      <w:r w:rsidRPr="00BD71F1">
        <w:rPr>
          <w:rFonts w:ascii="Arial" w:eastAsia="Arial" w:hAnsi="Arial" w:cs="Arial"/>
          <w:color w:val="000000"/>
          <w:sz w:val="22"/>
          <w:szCs w:val="22"/>
          <w:lang w:val="sk-SK"/>
        </w:rPr>
        <w:t>epeňažnom vklade</w:t>
      </w:r>
      <w:r w:rsidR="006C4A6E" w:rsidRPr="006C4A6E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768ECB7C" w14:textId="4F2F3333" w:rsidR="00BD71F1" w:rsidRPr="000059C6" w:rsidRDefault="00BD71F1" w:rsidP="00BD71F1">
      <w:pPr>
        <w:pBdr>
          <w:top w:val="nil"/>
          <w:left w:val="nil"/>
          <w:bottom w:val="nil"/>
          <w:right w:val="nil"/>
          <w:between w:val="nil"/>
        </w:pBdr>
        <w:ind w:left="1134" w:hanging="425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BD71F1">
        <w:rPr>
          <w:rFonts w:ascii="Arial" w:eastAsia="Arial" w:hAnsi="Arial" w:cs="Arial"/>
          <w:color w:val="000000"/>
          <w:sz w:val="22"/>
          <w:szCs w:val="22"/>
          <w:lang w:val="sk-SK"/>
        </w:rPr>
        <w:t>b)</w:t>
      </w:r>
      <w:r w:rsidRPr="00BD71F1">
        <w:rPr>
          <w:rFonts w:ascii="Arial" w:eastAsia="Arial" w:hAnsi="Arial" w:cs="Arial"/>
          <w:color w:val="000000"/>
          <w:sz w:val="22"/>
          <w:szCs w:val="22"/>
          <w:lang w:val="sk-SK"/>
        </w:rPr>
        <w:tab/>
      </w:r>
      <w:r w:rsidR="006C4A6E">
        <w:rPr>
          <w:rFonts w:ascii="Arial" w:eastAsia="Arial" w:hAnsi="Arial" w:cs="Arial"/>
          <w:color w:val="000000"/>
          <w:sz w:val="22"/>
          <w:szCs w:val="22"/>
          <w:lang w:val="sk-SK"/>
        </w:rPr>
        <w:t>V</w:t>
      </w:r>
      <w:r w:rsidRPr="00BD71F1">
        <w:rPr>
          <w:rFonts w:ascii="Arial" w:eastAsia="Arial" w:hAnsi="Arial" w:cs="Arial"/>
          <w:color w:val="000000"/>
          <w:sz w:val="22"/>
          <w:szCs w:val="22"/>
          <w:lang w:val="sk-SK"/>
        </w:rPr>
        <w:t>ylúčení alebo podaní návrhu na jeho vylúčenie zo spoločnosti.</w:t>
      </w:r>
    </w:p>
    <w:p w14:paraId="0000008C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8D" w14:textId="2F94838D" w:rsidR="00C10060" w:rsidRPr="000059C6" w:rsidRDefault="006A7CA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Valnému zhromaždeniu predsedá konateľ, alebo niektorý zo spoločníkov, ktorého zvolí valné zhromaždenie (predseda valného zhromaždenia); 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V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alné zhromaždenie môže zvoliť za svojho predsedu aj inú osobu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, ak s tým spoločníci súhlasia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V prípade, že na valnom zhromaždení je prítomná len jedna osoba, potom táto osoba môže zastávať funkciu predsedu aj zapisovateľa priebehu valného zhromaždenia.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Do doby zvolenia predsedu valného zhromaždenia riadi zasadnutie valného zhromaždenia konateľ spoločnosti.</w:t>
      </w:r>
    </w:p>
    <w:p w14:paraId="0000008E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1C3BAFF7" w14:textId="465EA4F1" w:rsidR="00BD71F1" w:rsidRPr="00287DA7" w:rsidRDefault="006A7CAC" w:rsidP="00287DA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Spoločníci môžu prijímať rozhodnutia aj mimo valného zhromaždenia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, t. j. spôsobom </w:t>
      </w:r>
      <w:r w:rsidRPr="000706C9">
        <w:rPr>
          <w:rFonts w:ascii="Arial" w:eastAsia="Arial" w:hAnsi="Arial" w:cs="Arial"/>
          <w:i/>
          <w:iCs/>
          <w:color w:val="000000"/>
          <w:sz w:val="22"/>
          <w:szCs w:val="22"/>
          <w:lang w:val="sk-SK"/>
        </w:rPr>
        <w:t xml:space="preserve">per </w:t>
      </w:r>
      <w:proofErr w:type="spellStart"/>
      <w:r w:rsidRPr="000706C9">
        <w:rPr>
          <w:rFonts w:ascii="Arial" w:eastAsia="Arial" w:hAnsi="Arial" w:cs="Arial"/>
          <w:i/>
          <w:iCs/>
          <w:color w:val="000000"/>
          <w:sz w:val="22"/>
          <w:szCs w:val="22"/>
          <w:lang w:val="sk-SK"/>
        </w:rPr>
        <w:t>rollam</w:t>
      </w:r>
      <w:proofErr w:type="spellEnd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. Návrh uznesenia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, ktoré má byť valným zhromaždením prijaté,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predkladá spoločníkom na vyjadrenie konateľ alebo ktorýkoľvek spoločník spolu s uvedením lehoty na písomné vyjadrenie (nie však kratšou ako 3 dni a dlhšou ako 7 dní), v ktorej títo spoločníci zasielajú vyjadrenie na adresu sídla spoločnosti, a to doporučenou poštovou zásielkou alebo e-mailovou správou. Ak sa spoločník nevyjadrí v stanovenej lehote, platí, že nesúhlasí. Konateľ následne oznámi výsledky hlasovania jednotlivým spoločníkom.</w:t>
      </w:r>
    </w:p>
    <w:p w14:paraId="00000090" w14:textId="77777777" w:rsidR="00C10060" w:rsidRDefault="00C100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7FE0585C" w14:textId="77777777" w:rsidR="000059C6" w:rsidRPr="000059C6" w:rsidRDefault="000059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91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VIII.</w:t>
      </w:r>
    </w:p>
    <w:p w14:paraId="00000092" w14:textId="2683535B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Konate</w:t>
      </w:r>
      <w:r w:rsidR="00D320CC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lia</w:t>
      </w:r>
    </w:p>
    <w:p w14:paraId="00000093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94" w14:textId="2E48363A" w:rsidR="00C10060" w:rsidRPr="000059C6" w:rsidRDefault="006A7CAC" w:rsidP="00CE6F0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Štatutárnym orgánom</w:t>
      </w:r>
      <w:r w:rsidR="003523B7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spoločnosti </w:t>
      </w:r>
      <w:r w:rsidR="00D320CC">
        <w:rPr>
          <w:rFonts w:ascii="Arial" w:eastAsia="Arial" w:hAnsi="Arial" w:cs="Arial"/>
          <w:color w:val="000000"/>
          <w:sz w:val="22"/>
          <w:szCs w:val="22"/>
          <w:lang w:val="sk-SK"/>
        </w:rPr>
        <w:t>sú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jej konate</w:t>
      </w:r>
      <w:r w:rsidR="00D320CC">
        <w:rPr>
          <w:rFonts w:ascii="Arial" w:eastAsia="Arial" w:hAnsi="Arial" w:cs="Arial"/>
          <w:color w:val="000000"/>
          <w:sz w:val="22"/>
          <w:szCs w:val="22"/>
          <w:lang w:val="sk-SK"/>
        </w:rPr>
        <w:t>lia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br/>
      </w:r>
    </w:p>
    <w:p w14:paraId="00000095" w14:textId="563022E2" w:rsidR="00C10060" w:rsidRPr="000059C6" w:rsidRDefault="00D320C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lang w:val="sk-SK"/>
        </w:rPr>
        <w:t>Každý k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onateľ rozhoduje o obchodnom vedení a všetkých záležitostiach, ktoré nie sú podľa tejto 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spoločenskej zmluvy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, 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všeobecne záväzných právnych predpisov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alebo rozhodnutia valného zhromaždenia vyhradené na rozhodnutie valnému zhromaždeniu.</w:t>
      </w:r>
    </w:p>
    <w:p w14:paraId="00000096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4F812909" w14:textId="77777777" w:rsidR="000706C9" w:rsidRDefault="000706C9" w:rsidP="000706C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lang w:val="sk-SK"/>
        </w:rPr>
        <w:t>Za prvých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konateľo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v 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spoločnosti bol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i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ustanoven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é nasledovné osoby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:</w:t>
      </w:r>
    </w:p>
    <w:p w14:paraId="29101C75" w14:textId="77777777" w:rsidR="000706C9" w:rsidRDefault="000706C9" w:rsidP="000706C9">
      <w:pPr>
        <w:pStyle w:val="Odsekzoznamu"/>
        <w:rPr>
          <w:rFonts w:ascii="Arial" w:eastAsia="Arial" w:hAnsi="Arial" w:cs="Arial"/>
          <w:sz w:val="22"/>
          <w:szCs w:val="22"/>
          <w:highlight w:val="yellow"/>
        </w:rPr>
      </w:pPr>
    </w:p>
    <w:p w14:paraId="44C2543D" w14:textId="5CFC20BF" w:rsidR="000706C9" w:rsidRPr="000706C9" w:rsidRDefault="000706C9" w:rsidP="000706C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B"/>
      </w:r>
      <w:r w:rsidRPr="000706C9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D320CC">
        <w:rPr>
          <w:rFonts w:ascii="Arial" w:eastAsia="Arial" w:hAnsi="Arial" w:cs="Arial"/>
          <w:sz w:val="22"/>
          <w:szCs w:val="22"/>
          <w:highlight w:val="yellow"/>
        </w:rPr>
        <w:sym w:font="Symbol" w:char="F05D"/>
      </w:r>
    </w:p>
    <w:p w14:paraId="000000A1" w14:textId="43ED2614" w:rsidR="00C10060" w:rsidRPr="000059C6" w:rsidRDefault="006A7CAC" w:rsidP="000706C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sz w:val="22"/>
          <w:szCs w:val="22"/>
          <w:lang w:val="sk-SK"/>
        </w:rPr>
        <w:tab/>
      </w:r>
    </w:p>
    <w:p w14:paraId="000000A2" w14:textId="3722D2EE" w:rsidR="00C10060" w:rsidRPr="000059C6" w:rsidRDefault="006A7C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706C9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K</w:t>
      </w:r>
      <w:r w:rsidR="000706C9" w:rsidRPr="000706C9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aždý k</w:t>
      </w:r>
      <w:r w:rsidRPr="000706C9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onateľ koná v mene spoločnosti samostatne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/ </w:t>
      </w:r>
      <w:r w:rsidR="000706C9" w:rsidRPr="000706C9">
        <w:rPr>
          <w:rFonts w:ascii="Arial" w:eastAsia="Arial" w:hAnsi="Arial" w:cs="Arial"/>
          <w:color w:val="000000"/>
          <w:sz w:val="22"/>
          <w:szCs w:val="22"/>
          <w:highlight w:val="cyan"/>
          <w:lang w:val="sk-SK"/>
        </w:rPr>
        <w:t>Za spoločnosť konajú vždy aspoň dvaja konatelia spoločne</w:t>
      </w:r>
      <w:r w:rsidR="003D2A20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</w:p>
    <w:p w14:paraId="000000A3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A4" w14:textId="77777777" w:rsidR="00C10060" w:rsidRPr="000059C6" w:rsidRDefault="006A7C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Podpisovanie za spoločnosť sa vykoná tak, že k vytlačenému alebo napísanému obchodnému menu spoločnosti konateľ pripojí svoj vlastnoručný podpis.</w:t>
      </w:r>
    </w:p>
    <w:p w14:paraId="000000A5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A6" w14:textId="1FA7771E" w:rsidR="00C10060" w:rsidRPr="000059C6" w:rsidRDefault="006A7C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lastRenderedPageBreak/>
        <w:t>Konateľ je povinný vykonávať svoju pôsobnosť s odbornou starostlivosťou a v súlade so záujmami spoločnosti a jej spoločník</w:t>
      </w:r>
      <w:r w:rsidR="00947739">
        <w:rPr>
          <w:rFonts w:ascii="Arial" w:eastAsia="Arial" w:hAnsi="Arial" w:cs="Arial"/>
          <w:color w:val="000000"/>
          <w:sz w:val="22"/>
          <w:szCs w:val="22"/>
          <w:lang w:val="sk-SK"/>
        </w:rPr>
        <w:t>ov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. Konateľ vykonáva svoju pôsobnosť v súlade so 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všeobecne záväznými právnymi predpismi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, 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individuálnymi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právnymi 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aktmi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, touto spoločenskou zmluvou a rozhodnutiami valného zhromaždenia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, ako aj v súlade so zmluvou o výkone funkcie, ak je takáto zmluva medzi spoločnosťou a konateľom uzavretá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</w:p>
    <w:p w14:paraId="000000A7" w14:textId="77777777" w:rsidR="00C10060" w:rsidRDefault="00C100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1B23E7B5" w14:textId="77777777" w:rsidR="000059C6" w:rsidRPr="000059C6" w:rsidRDefault="000059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A8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IX.</w:t>
      </w:r>
    </w:p>
    <w:p w14:paraId="000000A9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Zákaz konkurencie</w:t>
      </w:r>
    </w:p>
    <w:p w14:paraId="000000AA" w14:textId="4386D94F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AB" w14:textId="21D89C1C" w:rsidR="00C10060" w:rsidRDefault="006A7CAC" w:rsidP="000706C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Na konateľa spoločnosti sa vzťahuje zákaz konkurencie v zmysle </w:t>
      </w:r>
      <w:proofErr w:type="spellStart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ust</w:t>
      </w:r>
      <w:proofErr w:type="spellEnd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. § 136 </w:t>
      </w:r>
      <w:proofErr w:type="spellStart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ObchZ</w:t>
      </w:r>
      <w:proofErr w:type="spellEnd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. </w:t>
      </w:r>
    </w:p>
    <w:p w14:paraId="57C9D957" w14:textId="77777777" w:rsidR="000706C9" w:rsidRDefault="000706C9" w:rsidP="000706C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1DEE0EDC" w14:textId="7448B974" w:rsidR="000706C9" w:rsidRPr="00C32127" w:rsidRDefault="000706C9" w:rsidP="000706C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</w:pPr>
      <w:r w:rsidRPr="00C32127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 xml:space="preserve">Zákaz konkurencie sa </w:t>
      </w:r>
      <w:r w:rsidR="00947739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 xml:space="preserve">v rovnakom rozsahu </w:t>
      </w:r>
      <w:r w:rsidRPr="00C32127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vzťahuje taktiež na každého spoločníka spoločnosti.</w:t>
      </w:r>
    </w:p>
    <w:p w14:paraId="1632D1AD" w14:textId="77777777" w:rsidR="000706C9" w:rsidRDefault="000706C9" w:rsidP="000706C9">
      <w:pPr>
        <w:pStyle w:val="Odsekzoznamu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2917EED9" w14:textId="597A9C72" w:rsidR="000706C9" w:rsidRPr="000706C9" w:rsidRDefault="000706C9" w:rsidP="000706C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Výnimky z tohto zákazu schvaľuje valné zhromaždenie spoločnosti.</w:t>
      </w:r>
    </w:p>
    <w:p w14:paraId="000000AC" w14:textId="77777777" w:rsidR="00C10060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F692344" w14:textId="77777777" w:rsidR="000059C6" w:rsidRPr="000059C6" w:rsidRDefault="000059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AD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X.</w:t>
      </w:r>
    </w:p>
    <w:p w14:paraId="000000AE" w14:textId="45734694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Rezervný fond</w:t>
      </w:r>
      <w:r w:rsidR="00473F24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,</w:t>
      </w: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 xml:space="preserve"> kapitálové</w:t>
      </w:r>
      <w:r w:rsidR="00EF418F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 xml:space="preserve"> fondy</w:t>
      </w: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 xml:space="preserve"> </w:t>
      </w:r>
      <w:r w:rsidR="00780D53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a</w:t>
      </w:r>
      <w:r w:rsidR="00473F24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 príspevková povinnosť</w:t>
      </w:r>
    </w:p>
    <w:p w14:paraId="000000AF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B0" w14:textId="7A0C6D4D" w:rsidR="00C10060" w:rsidRPr="000059C6" w:rsidRDefault="006A7CA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V zmysle § 124 ods. 1 </w:t>
      </w:r>
      <w:proofErr w:type="spellStart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ObchZ</w:t>
      </w:r>
      <w:proofErr w:type="spellEnd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spoločnosť vytvára rezervný fond z čistého zisku vykázaného v schválenej riadnej individuálnej účtovnej závierke za finančný rok, v ktorom sa zisk vytvorí po prvý raz, 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a to 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vo výške päť percent (5%) z čistého zisku, najviac však vo výške desať percent (10%) základného imania. Spoločnosť je povinná dopĺňať rezervný fond každoročne vo výške päť percent (5%) z čistého zisku vykázaného v riadnej individuálnej účtovnej závierke, až kým rezervný fond nedosiahne výšku desať percent (10%) základného imania.</w:t>
      </w:r>
    </w:p>
    <w:p w14:paraId="000000B1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B2" w14:textId="53AEF02F" w:rsidR="00C10060" w:rsidRPr="000059C6" w:rsidRDefault="006A7CA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Rezervný fond možno použiť v rozsahu, v ktorom sa vytvára povinne podľa </w:t>
      </w:r>
      <w:proofErr w:type="spellStart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ObchZ</w:t>
      </w:r>
      <w:proofErr w:type="spellEnd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, iba na účely krytia strát spoločnosti, pokiaľ osobitný 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právny predpis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neustanovuje inak.</w:t>
      </w:r>
    </w:p>
    <w:p w14:paraId="000000B3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B4" w14:textId="77610C66" w:rsidR="00C10060" w:rsidRPr="00473F24" w:rsidRDefault="006A7CA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bookmarkStart w:id="0" w:name="_heading=h.t7u8tb73yswr" w:colFirst="0" w:colLast="0"/>
      <w:bookmarkEnd w:id="0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Ak je to žiadúce vo vzťahu k podnikateľským aktivitám spoločnosti, spoločník môže 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vložiť peňažný alebo nepeňažný vklad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do kapitálového fondu spoločnosti. 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Vklad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do kapitálového fondu bud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e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poskytnut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ý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na základe dohody uza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vretej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medzi spoločnosťou a príslušným </w:t>
      </w:r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spoločníkom alebo na základe jednostranného </w:t>
      </w:r>
      <w:r w:rsidR="000706C9"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písomného </w:t>
      </w:r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vyhlásenia spoločníka</w:t>
      </w:r>
      <w:r w:rsidR="003D2A20"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</w:t>
      </w:r>
      <w:r w:rsidR="003D2A20"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V</w:t>
      </w:r>
      <w:r w:rsidR="000706C9"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klad do kapitálového fondu</w:t>
      </w:r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podlieha schváleniu valn</w:t>
      </w:r>
      <w:r w:rsidR="000706C9"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ým</w:t>
      </w:r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zhromažden</w:t>
      </w:r>
      <w:r w:rsidR="000706C9"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ím</w:t>
      </w:r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spoločnosti.</w:t>
      </w:r>
    </w:p>
    <w:p w14:paraId="000000B5" w14:textId="77777777" w:rsidR="00C10060" w:rsidRPr="00473F24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20FFEEA" w14:textId="14C43FC2" w:rsidR="000059C6" w:rsidRPr="00473F24" w:rsidRDefault="006A7CAC" w:rsidP="0041633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bookmarkStart w:id="1" w:name="_heading=h.ceohb374uqtw" w:colFirst="0" w:colLast="0"/>
      <w:bookmarkEnd w:id="1"/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Prostriedky kapitálového fondu možno použiť iba na účely určené </w:t>
      </w:r>
      <w:proofErr w:type="spellStart"/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ObchZ</w:t>
      </w:r>
      <w:proofErr w:type="spellEnd"/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, a to v súlade s </w:t>
      </w:r>
      <w:proofErr w:type="spellStart"/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ObchZ</w:t>
      </w:r>
      <w:proofErr w:type="spellEnd"/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, touto spoločenskou zmluvou alebo osobitnou dohodou spoločníkov.</w:t>
      </w:r>
    </w:p>
    <w:p w14:paraId="5035A79B" w14:textId="77777777" w:rsidR="00796D9D" w:rsidRPr="00473F24" w:rsidRDefault="00796D9D" w:rsidP="00796D9D">
      <w:pPr>
        <w:pStyle w:val="Odsekzoznamu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1D7FF062" w14:textId="5F4E01B1" w:rsidR="00796D9D" w:rsidRPr="00473F24" w:rsidRDefault="00796D9D" w:rsidP="0041633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473F24">
        <w:rPr>
          <w:rFonts w:ascii="Arial" w:eastAsia="Arial" w:hAnsi="Arial" w:cs="Arial"/>
          <w:color w:val="000000"/>
          <w:sz w:val="22"/>
          <w:szCs w:val="22"/>
          <w:lang w:val="sk-SK"/>
        </w:rPr>
        <w:t>Kapitálový fond z príspevkov spoločníkov nemožno použiť na prerozdelenie medzi spoločníkov, ak je spoločnosť v kríze, alebo ak by sa v dôsledku prerozdelenia kapitálového fondu z príspevkov spoločníkov dostala do krízy. Ak sa má kapitálový fond z príspevkov spoločníkov použiť na prerozdelenie medzi spoločníkov, najneskôr 60 dní vopred sa musí v obchodnom vestníku zverejniť oznámenie o výške jeho prerozdelenia.</w:t>
      </w:r>
    </w:p>
    <w:p w14:paraId="176836FB" w14:textId="77777777" w:rsidR="00473F24" w:rsidRPr="00473F24" w:rsidRDefault="00473F24" w:rsidP="00473F24">
      <w:pPr>
        <w:pStyle w:val="Odsekzoznamu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5824D0B9" w14:textId="13A946EA" w:rsidR="00473F24" w:rsidRPr="00473F24" w:rsidRDefault="00473F24" w:rsidP="0041633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</w:pPr>
      <w:r w:rsidRPr="00473F24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Valné zhromaždenie je oprávnené uložiť spoločníkom povinnosť prispieť na úhradu strát spoločnosti peňažným plnením nad výšku vkladu</w:t>
      </w:r>
      <w:r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 xml:space="preserve"> do základného imania, a to</w:t>
      </w:r>
      <w:r w:rsidRPr="00473F24"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 xml:space="preserve"> až do polovice základného imania podľa výšky svojich vkladov.</w:t>
      </w:r>
      <w:r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 xml:space="preserve"> Dôsledky nesplnenia príspevkovej povinnosti spoločníkov upravuje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ObchZ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yellow"/>
          <w:lang w:val="sk-SK"/>
        </w:rPr>
        <w:t>.</w:t>
      </w:r>
    </w:p>
    <w:p w14:paraId="0021FA2F" w14:textId="77777777" w:rsidR="000059C6" w:rsidRDefault="000059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125A0149" w14:textId="77777777" w:rsidR="000D05E2" w:rsidRPr="000059C6" w:rsidRDefault="000D05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B8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XI.</w:t>
      </w:r>
    </w:p>
    <w:p w14:paraId="000000B9" w14:textId="49184096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Hospodárenie spoločnosti</w:t>
      </w:r>
      <w:r w:rsidR="0041633D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 xml:space="preserve"> a delenie zisku</w:t>
      </w:r>
    </w:p>
    <w:p w14:paraId="000000BA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6C55F327" w14:textId="77777777" w:rsidR="0041633D" w:rsidRDefault="0041633D" w:rsidP="0041633D">
      <w:pPr>
        <w:pStyle w:val="Odsekzoznamu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Prvé účtovné obdobie spoločnosti začína dňom zápisu spoločnosti do obchodného registra a končí posledným dňom kalendárneho roka, v ktorom bola spoločnosť zapísaná do </w:t>
      </w:r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lastRenderedPageBreak/>
        <w:t>obchodného registra. Nasledujúce účtovné obdobia spoločnosti sú totožné s príslušnými kalendárnymi rokmi.</w:t>
      </w:r>
    </w:p>
    <w:p w14:paraId="0E05EFC4" w14:textId="77777777" w:rsidR="0041633D" w:rsidRDefault="0041633D" w:rsidP="0041633D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29F343BC" w14:textId="3AB5D945" w:rsidR="0041633D" w:rsidRPr="0041633D" w:rsidRDefault="0041633D" w:rsidP="0041633D">
      <w:pPr>
        <w:pStyle w:val="Odsekzoznamu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Spoločnosť môže rozdeliť zisk len za podmienok stanovených v </w:t>
      </w:r>
      <w:proofErr w:type="spellStart"/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>ObchZ</w:t>
      </w:r>
      <w:proofErr w:type="spellEnd"/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>. Spoločníci spoločnosti uzavretím tejto spoločenskej zmluvy alebo pristúpením k nej súhlasia s tým, že valné zhromaždenie môže rozhodnúť o rozdelení zisku v inom pomere, než v pomere zodpovedajúcom obchodným podielom spoločníkov, a to za predpokladu, že s tým vyjadria súhlas všetci spoločníci spoločnosti.</w:t>
      </w:r>
    </w:p>
    <w:p w14:paraId="5482BFC8" w14:textId="77777777" w:rsidR="000C4B1F" w:rsidRDefault="000C4B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10D2F7C2" w14:textId="77777777" w:rsidR="000D05E2" w:rsidRPr="000059C6" w:rsidRDefault="000D05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C2" w14:textId="1FAA304C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XII.</w:t>
      </w:r>
    </w:p>
    <w:p w14:paraId="01143013" w14:textId="26EEBAD0" w:rsidR="0041633D" w:rsidRDefault="0041633D" w:rsidP="004163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Osobitné ustanovenia</w:t>
      </w:r>
    </w:p>
    <w:p w14:paraId="18FEE313" w14:textId="77777777" w:rsidR="0041633D" w:rsidRPr="0041633D" w:rsidRDefault="0041633D" w:rsidP="004163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3BF25B94" w14:textId="77777777" w:rsidR="0041633D" w:rsidRDefault="006A7CAC" w:rsidP="0041633D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>Osobám podieľajúcim sa na založení spoločnosti alebo na činnostiach smerujúcich k nadobudnutiu oprávnení na jej činnosť neboli</w:t>
      </w:r>
      <w:r w:rsidR="000706C9"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a nebudú</w:t>
      </w:r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poskytnuté žiadne výhody.</w:t>
      </w:r>
    </w:p>
    <w:p w14:paraId="51B03737" w14:textId="77777777" w:rsidR="0041633D" w:rsidRDefault="0041633D" w:rsidP="0041633D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21302DD8" w14:textId="77777777" w:rsidR="0041633D" w:rsidRDefault="0041633D" w:rsidP="0041633D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Predpokladané náklady spoločnosti súvisiace s jej založením a vznikom boli stanovené vo výške </w:t>
      </w:r>
      <w:r w:rsidRPr="000059C6">
        <w:rPr>
          <w:rFonts w:eastAsia="Arial"/>
          <w:b/>
          <w:highlight w:val="yellow"/>
        </w:rPr>
        <w:sym w:font="Symbol" w:char="F05B"/>
      </w:r>
      <w:r w:rsidRPr="0041633D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0059C6">
        <w:rPr>
          <w:rFonts w:eastAsia="Arial"/>
          <w:b/>
          <w:highlight w:val="yellow"/>
        </w:rPr>
        <w:sym w:font="Symbol" w:char="F05D"/>
      </w:r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,- EUR (slovom: </w:t>
      </w:r>
      <w:r w:rsidRPr="000059C6">
        <w:rPr>
          <w:rFonts w:eastAsia="Arial"/>
          <w:b/>
          <w:highlight w:val="yellow"/>
        </w:rPr>
        <w:sym w:font="Symbol" w:char="F05B"/>
      </w:r>
      <w:r w:rsidRPr="0041633D">
        <w:rPr>
          <w:rFonts w:ascii="Arial" w:eastAsia="Arial" w:hAnsi="Arial" w:cs="Arial"/>
          <w:b/>
          <w:color w:val="000000"/>
          <w:sz w:val="22"/>
          <w:szCs w:val="22"/>
          <w:highlight w:val="yellow"/>
          <w:lang w:val="sk-SK"/>
        </w:rPr>
        <w:t xml:space="preserve"> DOPLNIŤ </w:t>
      </w:r>
      <w:r w:rsidRPr="000059C6">
        <w:rPr>
          <w:rFonts w:eastAsia="Arial"/>
          <w:b/>
          <w:highlight w:val="yellow"/>
        </w:rPr>
        <w:sym w:font="Symbol" w:char="F05D"/>
      </w:r>
      <w:r w:rsidRPr="0041633D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 xml:space="preserve"> </w:t>
      </w:r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euro) a sú tvorené najmä výdavkami za služby notára, výdavkami súvisiacimi s osvedčením podpisov, poštovnými výdavkami a výdavkami za právne služby. </w:t>
      </w:r>
    </w:p>
    <w:p w14:paraId="505B7EF3" w14:textId="77777777" w:rsidR="0041633D" w:rsidRPr="0041633D" w:rsidRDefault="0041633D" w:rsidP="0041633D">
      <w:pPr>
        <w:pStyle w:val="Odsekzoznamu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</w:p>
    <w:p w14:paraId="67306252" w14:textId="77777777" w:rsidR="0041633D" w:rsidRDefault="0041633D" w:rsidP="0041633D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Spoločnosť môže na základe rozhodnutia valného zhromaždenia vytvoriť tiež osobitný fond na účel jeho budúceho použitia na posilnenie vnútorných vzťahov a vonkajších vzťahov registrovaného rodinného podniku v súlade so záväzkom podľa § 15d ods. 1 písm. c) druhého bodu zákona č. 112/2018 Z. z., o sociálnej ekonomike a sociálnych podnikoch a o zmene a doplnení niektorých zákonov, v znení neskorších predpisov (ďalej len „</w:t>
      </w:r>
      <w:proofErr w:type="spellStart"/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ZoSEaSP</w:t>
      </w:r>
      <w:proofErr w:type="spellEnd"/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“)</w:t>
      </w:r>
      <w:r w:rsidRPr="0041633D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</w:p>
    <w:p w14:paraId="4638DFCC" w14:textId="77777777" w:rsidR="0041633D" w:rsidRPr="0041633D" w:rsidRDefault="0041633D" w:rsidP="0041633D">
      <w:pPr>
        <w:pStyle w:val="Odsekzoznamu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</w:p>
    <w:p w14:paraId="73C2D405" w14:textId="208E2F79" w:rsidR="0041633D" w:rsidRPr="0041633D" w:rsidRDefault="0041633D" w:rsidP="0041633D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Spoločníci spoločnosti prijatím tejto spoločenskej zmluvy alebo pristúpením k nej prijímajú záväzok zosúlaďovania riadiacich, obchodných, vlastníckych a rodinných vzťahov spôsobom smerujúcim k udržiavaniu a rozvíjaniu rodinných väzieb, k posilňovaniu rodinných hodnôt a kvality rodinného života a všestranného rozvoja rodinnej hmotnej kultúry a</w:t>
      </w:r>
      <w:r w:rsidR="00BC6504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 </w:t>
      </w:r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tradície</w:t>
      </w:r>
      <w:r w:rsidR="00BC6504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</w:p>
    <w:p w14:paraId="63D813B8" w14:textId="77777777" w:rsidR="0041633D" w:rsidRPr="0041633D" w:rsidRDefault="0041633D" w:rsidP="0041633D">
      <w:pPr>
        <w:pStyle w:val="Odsekzoznamu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</w:p>
    <w:p w14:paraId="22E617FE" w14:textId="77777777" w:rsidR="0041633D" w:rsidRPr="0041633D" w:rsidRDefault="0041633D" w:rsidP="0041633D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V prípade, ak bude spoločnosť zaradená do evidencie rodinných podnikov v zmysle </w:t>
      </w:r>
      <w:proofErr w:type="spellStart"/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ZoSEaSP</w:t>
      </w:r>
      <w:proofErr w:type="spellEnd"/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, potom platí, že po zaradení do evidencie rodinných podnikov je spoločnosť oprávnená v písomnom styku uvádzať označenie „rodinný podnik” alebo skratku „r. p.”. Evidovaný rodinný podnik môže podať návrh na zápis označenia „rodinný podnik“ do obchodného registra.</w:t>
      </w:r>
    </w:p>
    <w:p w14:paraId="70333E11" w14:textId="77777777" w:rsidR="0041633D" w:rsidRPr="0041633D" w:rsidRDefault="0041633D" w:rsidP="0041633D">
      <w:pPr>
        <w:pStyle w:val="Odsekzoznamu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</w:p>
    <w:p w14:paraId="55831A87" w14:textId="054029B1" w:rsidR="0041633D" w:rsidRPr="0041633D" w:rsidRDefault="0041633D" w:rsidP="0041633D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Spoločníci spoločnosti prijatím tejto spoločenskej zmluvy alebo pristúpením k nej súhlasia s tým, aby sa spoločnosť zaviazala k tomu, že časť jej zisku v rozsahu najmenej dvanásť percent (12 %) po zdanení bude použitá na posilnenie svojich vnútorných vzťahov a vonkajších vzťahov v súlade so záväzkom podľa § 15d ods. 1 písm. c) druhého bodu </w:t>
      </w:r>
      <w:proofErr w:type="spellStart"/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ZoSEaSP</w:t>
      </w:r>
      <w:proofErr w:type="spellEnd"/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, a to v období do jedného roka odo dňa schválenia riadnej účtovnej závierky, ktorou bol preukázaný kladný výsledok hospodárenia príslušného účtovného obdobia, a to najmä na</w:t>
      </w:r>
    </w:p>
    <w:p w14:paraId="219D8157" w14:textId="77777777" w:rsidR="0041633D" w:rsidRPr="00780D53" w:rsidRDefault="0041633D" w:rsidP="0041633D">
      <w:pPr>
        <w:pStyle w:val="Odsekzoznamu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</w:p>
    <w:p w14:paraId="3277A758" w14:textId="66B8BCC7" w:rsidR="0041633D" w:rsidRPr="00780D53" w:rsidRDefault="006C4A6E" w:rsidP="0041633D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V</w:t>
      </w:r>
      <w:r w:rsidR="0041633D" w:rsidRPr="00780D53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zdelávanie členov spoločnej rodiny</w:t>
      </w:r>
      <w:r w:rsidRPr="006C4A6E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335BB269" w14:textId="11BDA783" w:rsidR="0041633D" w:rsidRPr="00780D53" w:rsidRDefault="006C4A6E" w:rsidP="0041633D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D</w:t>
      </w:r>
      <w:r w:rsidR="0041633D" w:rsidRPr="00780D53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ôchodkové zabezpečenie členov spoločnej rodiny</w:t>
      </w:r>
      <w:r w:rsidRPr="006C4A6E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5FD83F02" w14:textId="4857D4F7" w:rsidR="0041633D" w:rsidRPr="00780D53" w:rsidRDefault="006C4A6E" w:rsidP="0041633D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R</w:t>
      </w:r>
      <w:r w:rsidR="0041633D" w:rsidRPr="00780D53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ekreačné pobyty členov spoločnej rodiny a zamestnancov registrovaného rodinného podniku</w:t>
      </w:r>
      <w:r w:rsidRPr="006C4A6E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05F619E7" w14:textId="2CAA2B58" w:rsidR="0041633D" w:rsidRPr="00780D53" w:rsidRDefault="006C4A6E" w:rsidP="0041633D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</w:t>
      </w:r>
      <w:r w:rsidR="0041633D" w:rsidRPr="00780D53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dravotnú starostlivosť o členov spoločnej rodiny a zamestnancov registrovaného rodinného podniku</w:t>
      </w:r>
      <w:r w:rsidRPr="006C4A6E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4D4C7527" w14:textId="3710B776" w:rsidR="0041633D" w:rsidRPr="00780D53" w:rsidRDefault="006C4A6E" w:rsidP="0041633D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S</w:t>
      </w:r>
      <w:r w:rsidR="0041633D" w:rsidRPr="00780D53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ociálnu pomoc a starostlivosť o členov spoločnej rodiny</w:t>
      </w:r>
      <w:r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.</w:t>
      </w:r>
    </w:p>
    <w:p w14:paraId="093748E4" w14:textId="77777777" w:rsidR="0041633D" w:rsidRPr="00780D53" w:rsidRDefault="0041633D" w:rsidP="0041633D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</w:p>
    <w:p w14:paraId="000000C6" w14:textId="3FCBE179" w:rsidR="00C10060" w:rsidRPr="0041633D" w:rsidRDefault="0041633D" w:rsidP="0041633D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Za použitie zisku po zdanení sa na účely tohto odseku tiež považuje, ak sa zisk po zdanení uplatní</w:t>
      </w:r>
      <w:r w:rsidRPr="0041633D">
        <w:rPr>
          <w:rFonts w:ascii="Source Sans Pro" w:hAnsi="Source Sans Pro"/>
          <w:color w:val="000000"/>
          <w:sz w:val="29"/>
          <w:szCs w:val="29"/>
          <w:highlight w:val="magenta"/>
          <w:shd w:val="clear" w:color="auto" w:fill="FFFFFF"/>
          <w:lang w:val="sk-SK"/>
        </w:rPr>
        <w:t xml:space="preserve"> </w:t>
      </w:r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na doplnenie osobitného fondu vytvoreného na účel jeho budúceho použitia na posilnenie vnútorných vzťahov a vonkajších vzťahov registrovaného rodinného podniku v </w:t>
      </w:r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lastRenderedPageBreak/>
        <w:t>súlade so záväzkom podľa § 15d ods. 1 písm. c) druhého bodu </w:t>
      </w:r>
      <w:proofErr w:type="spellStart"/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ZoSEaSP</w:t>
      </w:r>
      <w:proofErr w:type="spellEnd"/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, pričom k ich použitiu musí dôjsť najneskôr do piatich rokov odo dňa schválenia riadnej účtovnej závierky, ktorou bol preukázaný kladný výsledok hospodárenia príslušného účtovného obdobia; v prípade obstarania odpisovaného majetku musí dôjsť k začatiu použitia najneskôr do piatich rokov odo dňa schválenia riadnej účtovnej závierky, ktorou bol preukázaný kladný výsledok hospodárenia príslušného účtovného obdobia, alebo</w:t>
      </w:r>
      <w:r w:rsidRPr="0041633D">
        <w:rPr>
          <w:rFonts w:ascii="Source Sans Pro" w:hAnsi="Source Sans Pro"/>
          <w:color w:val="000000"/>
          <w:sz w:val="29"/>
          <w:szCs w:val="29"/>
          <w:highlight w:val="magenta"/>
          <w:shd w:val="clear" w:color="auto" w:fill="F3F2F1"/>
          <w:lang w:val="sk-SK"/>
        </w:rPr>
        <w:t xml:space="preserve"> </w:t>
      </w:r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na krytie účtovnej straty do výšky daňovej straty, ak na krytie tejto účtovnej straty už bol použitý celý rezervný fond alebo nedeliteľný fond, celý nerozdelený zisk z minulých období a celý zisk po zdanení, ktorý nepodlieha použitiu spôsobom podľa tohoto odseku.</w:t>
      </w:r>
    </w:p>
    <w:p w14:paraId="3D77671D" w14:textId="77777777" w:rsidR="000D05E2" w:rsidRPr="0041633D" w:rsidRDefault="000D05E2" w:rsidP="000D05E2">
      <w:pPr>
        <w:pStyle w:val="Odsekzoznamu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</w:p>
    <w:p w14:paraId="15128C59" w14:textId="5CC53DF5" w:rsidR="005004A5" w:rsidRPr="00176A06" w:rsidRDefault="000D05E2" w:rsidP="000D05E2">
      <w:pPr>
        <w:pStyle w:val="Odsekzoznamu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Spoločníci spoločnosti prijatím tejto spoločenskej zmluvy alebo pristúpením k nej súhlasia s tým, aby spoločnosť</w:t>
      </w:r>
      <w:r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</w:t>
      </w:r>
      <w:r w:rsid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kedykoľvek počas </w:t>
      </w:r>
      <w:r w:rsidR="00592EF5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svojho</w:t>
      </w:r>
      <w:r w:rsid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</w:t>
      </w:r>
      <w:r w:rsidR="00592EF5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trvania</w:t>
      </w:r>
      <w:r w:rsid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zriadila radu </w:t>
      </w:r>
      <w:r w:rsidR="005004A5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rodinného podniku v zmysle § 15b </w:t>
      </w:r>
      <w:proofErr w:type="spellStart"/>
      <w:r w:rsidR="005004A5" w:rsidRPr="0041633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ZoSEaSP</w:t>
      </w:r>
      <w:proofErr w:type="spellEnd"/>
      <w:r w:rsidR="00A40AB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. R</w:t>
      </w:r>
      <w:r w:rsidR="005004A5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ada rodinného podniku </w:t>
      </w:r>
      <w:r w:rsidR="00A40ABD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spoločnosti </w:t>
      </w:r>
      <w:r w:rsidR="005004A5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vzniká dňom</w:t>
      </w:r>
      <w:r w:rsidR="00FB76A5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dosiahnutia </w:t>
      </w:r>
      <w:r w:rsidR="00A40ABD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minimálne 3 členov</w:t>
      </w:r>
      <w:r w:rsidR="005004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. Prijatím rozhodnutia spoločnosti o zriadení rady rodinného podniku sa prijíma štatút rady rodinného podniku vyjadrený nasledovnými ustanoveniami tejto spoločenskej zmluvy:</w:t>
      </w:r>
    </w:p>
    <w:p w14:paraId="7494716F" w14:textId="77777777" w:rsidR="005004A5" w:rsidRPr="00176A06" w:rsidRDefault="005004A5" w:rsidP="005004A5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</w:p>
    <w:p w14:paraId="64D46742" w14:textId="15B635F4" w:rsidR="00FB76A5" w:rsidRPr="00176A06" w:rsidRDefault="00FB76A5" w:rsidP="005004A5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Rada rodinného podniku spoločnosti má minimálne 3 členov. Maximálny počet členov  rady rodinného podniku spoločnosti sa nestanovuje</w:t>
      </w:r>
      <w:r w:rsidR="006C4A6E" w:rsidRPr="006C4A6E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479D5A3A" w14:textId="671A6EC2" w:rsidR="005004A5" w:rsidRPr="00176A06" w:rsidRDefault="005004A5" w:rsidP="005004A5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Členmi rady rodinného podniku spoločnosti sú tí spoločníci a konatelia spoločnosti, ktorí </w:t>
      </w:r>
      <w:r w:rsidR="00A40ABD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(i) </w:t>
      </w:r>
      <w:r w:rsidR="00FB76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sú členmi spoločnej rodiny </w:t>
      </w:r>
      <w:r w:rsidR="00A40ABD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v zmysle § 15</w:t>
      </w:r>
      <w:r w:rsidR="00FB76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a</w:t>
      </w:r>
      <w:r w:rsidR="00A40ABD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ods. 2 </w:t>
      </w:r>
      <w:proofErr w:type="spellStart"/>
      <w:r w:rsidR="00A40ABD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ZoSEaSP</w:t>
      </w:r>
      <w:proofErr w:type="spellEnd"/>
      <w:r w:rsidR="00A40ABD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, (ii) </w:t>
      </w:r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písomne </w:t>
      </w:r>
      <w:r w:rsidR="00FB76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požiadajú</w:t>
      </w:r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</w:t>
      </w:r>
      <w:r w:rsidR="00FB76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o ustanovenie </w:t>
      </w:r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za člena rady</w:t>
      </w:r>
      <w:r w:rsidR="00FB76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, pričom spoločnosť takúto žiadosť písomne príjme</w:t>
      </w:r>
      <w:r w:rsidR="00592EF5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, alebo je im členstvo v rade písomne ponúknuté spoločnosťou a príslušná osoba toto členstvo príjme</w:t>
      </w:r>
      <w:r w:rsidR="006C4A6E" w:rsidRPr="006C4A6E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57BAA5FE" w14:textId="40C15081" w:rsidR="00A40ABD" w:rsidRPr="00176A06" w:rsidRDefault="00A40ABD" w:rsidP="005004A5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Kompetencie rady rodinného podniku spoločnosti ustanovuje § 15b ods. 1 </w:t>
      </w:r>
      <w:proofErr w:type="spellStart"/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ZoSEaSP</w:t>
      </w:r>
      <w:proofErr w:type="spellEnd"/>
      <w:r w:rsidR="006C4A6E" w:rsidRPr="006C4A6E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2E5ED46C" w14:textId="7C7E9151" w:rsidR="00176A06" w:rsidRPr="00176A06" w:rsidRDefault="00A40ABD" w:rsidP="005004A5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proofErr w:type="spellStart"/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cs-CZ"/>
        </w:rPr>
        <w:t>Vnútorn</w:t>
      </w:r>
      <w:r w:rsidR="00176A06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cs-CZ"/>
        </w:rPr>
        <w:t>ú</w:t>
      </w:r>
      <w:proofErr w:type="spellEnd"/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cs-CZ"/>
        </w:rPr>
        <w:t xml:space="preserve"> </w:t>
      </w:r>
      <w:proofErr w:type="spellStart"/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cs-CZ"/>
        </w:rPr>
        <w:t>organizáci</w:t>
      </w:r>
      <w:r w:rsidR="00176A06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cs-CZ"/>
        </w:rPr>
        <w:t>u</w:t>
      </w:r>
      <w:proofErr w:type="spellEnd"/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cs-CZ"/>
        </w:rPr>
        <w:t xml:space="preserve"> a </w:t>
      </w:r>
      <w:proofErr w:type="spellStart"/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cs-CZ"/>
        </w:rPr>
        <w:t>fungovanie</w:t>
      </w:r>
      <w:proofErr w:type="spellEnd"/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rady rodinného podniku</w:t>
      </w:r>
      <w:r w:rsidR="00FB76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ustanovuje </w:t>
      </w:r>
      <w:r w:rsidR="00176A06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tento odsek spoločenskej zmluvy a </w:t>
      </w:r>
      <w:r w:rsidR="00FB76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§ 15b ods. 2 - 4 </w:t>
      </w:r>
      <w:proofErr w:type="spellStart"/>
      <w:r w:rsidR="00FB76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ZoSEaSP</w:t>
      </w:r>
      <w:proofErr w:type="spellEnd"/>
      <w:r w:rsidR="006C4A6E" w:rsidRPr="006C4A6E">
        <w:rPr>
          <w:rFonts w:ascii="Arial" w:eastAsia="Arial" w:hAnsi="Arial" w:cs="Arial"/>
          <w:color w:val="000000"/>
          <w:sz w:val="22"/>
          <w:szCs w:val="22"/>
          <w:lang w:val="sk-SK"/>
        </w:rPr>
        <w:sym w:font="Symbol" w:char="F03B"/>
      </w:r>
    </w:p>
    <w:p w14:paraId="15D686DB" w14:textId="3E037455" w:rsidR="000059C6" w:rsidRPr="00176A06" w:rsidRDefault="00FB76A5" w:rsidP="00176A06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</w:pPr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Rad</w:t>
      </w:r>
      <w:r w:rsidR="00176A06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a</w:t>
      </w:r>
      <w:r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rodinného podniku si na každom svojom zasadnutí zvolí predsedu a zapisovateľa</w:t>
      </w:r>
      <w:r w:rsidR="00176A06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, pričom funkcia predsedu rady nepredstavuje stálu funkciu. Ak </w:t>
      </w:r>
      <w:proofErr w:type="spellStart"/>
      <w:r w:rsidR="00176A06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>ZoSEaSP</w:t>
      </w:r>
      <w:proofErr w:type="spellEnd"/>
      <w:r w:rsidR="00176A06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nestanovuje ďalšie osobitné požiadavky pre organizáciu a fungovanie rady rodinného podniku spoločnosti, potom sa primerane</w:t>
      </w:r>
      <w:r w:rsidR="005004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použijú ustanovenia čl. VII. ods. 7.3 – 7.9</w:t>
      </w:r>
      <w:r w:rsidR="00176A06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 tejto spoločenskej zmluvy</w:t>
      </w:r>
      <w:r w:rsidR="005004A5" w:rsidRPr="00176A06">
        <w:rPr>
          <w:rFonts w:ascii="Arial" w:eastAsia="Arial" w:hAnsi="Arial" w:cs="Arial"/>
          <w:color w:val="000000"/>
          <w:sz w:val="22"/>
          <w:szCs w:val="22"/>
          <w:highlight w:val="magenta"/>
          <w:lang w:val="sk-SK"/>
        </w:rPr>
        <w:t xml:space="preserve">. </w:t>
      </w:r>
    </w:p>
    <w:p w14:paraId="6D5C13CD" w14:textId="77777777" w:rsidR="00176A06" w:rsidRDefault="00176A06" w:rsidP="00176A06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106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3387848B" w14:textId="77777777" w:rsidR="00176A06" w:rsidRPr="000059C6" w:rsidRDefault="00176A06" w:rsidP="00176A06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1069"/>
        <w:jc w:val="both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000000C7" w14:textId="37A26B6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Článok XI</w:t>
      </w:r>
      <w:r w:rsidR="0041633D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II</w:t>
      </w: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.</w:t>
      </w:r>
    </w:p>
    <w:p w14:paraId="000000C8" w14:textId="77777777" w:rsidR="00C10060" w:rsidRPr="000059C6" w:rsidRDefault="006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b/>
          <w:color w:val="000000"/>
          <w:sz w:val="22"/>
          <w:szCs w:val="22"/>
          <w:lang w:val="sk-SK"/>
        </w:rPr>
        <w:t>Záverečné ustanovenia</w:t>
      </w:r>
    </w:p>
    <w:p w14:paraId="000000CB" w14:textId="77777777" w:rsidR="00C10060" w:rsidRPr="000059C6" w:rsidRDefault="00C10060" w:rsidP="00416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CC" w14:textId="77777777" w:rsidR="00C10060" w:rsidRPr="000059C6" w:rsidRDefault="006A7CAC" w:rsidP="0041633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Spoločnosť zaniká dňom výmazu z obchodného registra. Zániku spoločnosti predchádza podľa príslušných ustanovení </w:t>
      </w:r>
      <w:proofErr w:type="spellStart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ObchZ</w:t>
      </w:r>
      <w:proofErr w:type="spellEnd"/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jej zrušenie s likvidáciou alebo bez likvidácie, ak imanie spoločnosti prechádza na jej právneho nástupcu.</w:t>
      </w:r>
    </w:p>
    <w:p w14:paraId="000000CD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CE" w14:textId="602B6FE9" w:rsidR="00C10060" w:rsidRPr="000059C6" w:rsidRDefault="00D53501" w:rsidP="0041633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Táto spoločenská zmluva sa uzatvára podľa právnych predpisov Slovenskej republiky. 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Pokiaľ nie je niečo iné uvedené v tejto spoločenskej zmluve</w:t>
      </w:r>
      <w:r w:rsidR="000706C9">
        <w:rPr>
          <w:rFonts w:ascii="Arial" w:eastAsia="Arial" w:hAnsi="Arial" w:cs="Arial"/>
          <w:color w:val="000000"/>
          <w:sz w:val="22"/>
          <w:szCs w:val="22"/>
          <w:lang w:val="sk-SK"/>
        </w:rPr>
        <w:t>,</w:t>
      </w:r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použijú sa ustanovenia </w:t>
      </w:r>
      <w:proofErr w:type="spellStart"/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ObchZ</w:t>
      </w:r>
      <w:proofErr w:type="spellEnd"/>
      <w:r w:rsidR="006A7CAC"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a ostatných všeobecne záväzných právnych predpisov Slovenskej republiky.</w:t>
      </w:r>
    </w:p>
    <w:p w14:paraId="000000CF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D0" w14:textId="77777777" w:rsidR="00C10060" w:rsidRPr="000059C6" w:rsidRDefault="006A7CAC" w:rsidP="0041633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Ak sa niektoré ustanovenie tejto spoločenskej zmluvy stane neplatným alebo neúčinným, platnosť a účinnosť ostatných ustanovení tým nie je dotknutá. Namiesto neúčinných ustanovení sa použije právna úprava, ktorá čo najviac zodpovedá významu a účelu neúčinného ustanovenia tejto spoločenskej zmluvy.</w:t>
      </w:r>
    </w:p>
    <w:p w14:paraId="000000D1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5AF9F612" w14:textId="709F1C8E" w:rsidR="0041633D" w:rsidRDefault="006A7CAC" w:rsidP="0041633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Akákoľvek zmena alebo doplnenie tejto spoločenskej zmluvy do vzniku spoločnosti vyžaduje súhlas všetkých zakladateľov v písomnej forme s úradne osvedčenými podpismi. O zmenách tejto spoločenskej zmluvy po vzniku spoločnosti rozhoduje valné zhromaždenie spoločnosti.</w:t>
      </w:r>
    </w:p>
    <w:p w14:paraId="510A7198" w14:textId="77777777" w:rsidR="00947739" w:rsidRDefault="00947739" w:rsidP="00947739">
      <w:pPr>
        <w:pStyle w:val="Odsekzoznamu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6D68301B" w14:textId="69D48177" w:rsidR="00947739" w:rsidRDefault="00947739" w:rsidP="00947739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lang w:val="sk-SK"/>
        </w:rPr>
        <w:lastRenderedPageBreak/>
        <w:t>V prípade, že táto spoločenská zmluva nie je vyhotovená a podpísaná v elektronickej podobe, vyhotovuje sa v počte rovnajúcom sa súčtu spoločníkov a jedného dodatočného vyhotovenia, ktoré ostáva spoločnosti</w:t>
      </w:r>
      <w:r w:rsidRPr="000059C6">
        <w:rPr>
          <w:rFonts w:ascii="Arial" w:eastAsia="Arial" w:hAnsi="Arial" w:cs="Arial"/>
          <w:color w:val="000000"/>
          <w:sz w:val="22"/>
          <w:szCs w:val="22"/>
          <w:lang w:val="sk-SK"/>
        </w:rPr>
        <w:t>.</w:t>
      </w:r>
    </w:p>
    <w:p w14:paraId="41571036" w14:textId="77777777" w:rsidR="00947739" w:rsidRDefault="00947739" w:rsidP="00947739">
      <w:pPr>
        <w:pStyle w:val="Odsekzoznamu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579319F1" w14:textId="48413C59" w:rsidR="00947739" w:rsidRPr="00947739" w:rsidRDefault="00947739" w:rsidP="00947739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  <w:lang w:val="sk-SK"/>
        </w:rPr>
      </w:pPr>
      <w:r>
        <w:rPr>
          <w:rFonts w:ascii="Arial" w:eastAsia="Arial" w:hAnsi="Arial" w:cs="Arial"/>
          <w:color w:val="000000"/>
          <w:sz w:val="22"/>
          <w:szCs w:val="22"/>
          <w:lang w:val="sk-SK"/>
        </w:rPr>
        <w:t>Jednotliví</w:t>
      </w:r>
      <w:r w:rsidRPr="0094773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spoločníci</w:t>
      </w:r>
      <w:r w:rsidRPr="0094773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si túto 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spoločenskú zmluvu</w:t>
      </w:r>
      <w:r w:rsidRPr="0094773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prečítali, právam a povinnostiam z nej vyplývajúcim porozumeli, pričom svoju vôľu uzatvoriť túto 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spoločenskú zmluvu alebo vôľu pristúpiť k nej</w:t>
      </w:r>
      <w:r w:rsidRPr="0094773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prejavujú slobodne a vážne. Zmluvné strany 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podpisom tejto spoločenskej zmluvy alebo pristúpením k nej </w:t>
      </w:r>
      <w:r w:rsidRPr="0094773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vyhlasujú, že táto </w:t>
      </w:r>
      <w:r>
        <w:rPr>
          <w:rFonts w:ascii="Arial" w:eastAsia="Arial" w:hAnsi="Arial" w:cs="Arial"/>
          <w:color w:val="000000"/>
          <w:sz w:val="22"/>
          <w:szCs w:val="22"/>
          <w:lang w:val="sk-SK"/>
        </w:rPr>
        <w:t>spoločenská zmluva</w:t>
      </w:r>
      <w:r w:rsidRPr="00947739">
        <w:rPr>
          <w:rFonts w:ascii="Arial" w:eastAsia="Arial" w:hAnsi="Arial" w:cs="Arial"/>
          <w:color w:val="000000"/>
          <w:sz w:val="22"/>
          <w:szCs w:val="22"/>
          <w:lang w:val="sk-SK"/>
        </w:rPr>
        <w:t xml:space="preserve"> nie je uzatváraná v tiesni ani za nápadne nevýhodných podmienok.</w:t>
      </w:r>
    </w:p>
    <w:p w14:paraId="000000D5" w14:textId="77777777" w:rsidR="00C10060" w:rsidRDefault="00C10060" w:rsidP="004163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p w14:paraId="15F918EC" w14:textId="77777777" w:rsidR="000706C9" w:rsidRPr="000059C6" w:rsidRDefault="000706C9" w:rsidP="0041633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lang w:val="sk-SK"/>
        </w:rPr>
      </w:pPr>
    </w:p>
    <w:tbl>
      <w:tblPr>
        <w:tblStyle w:val="Mriekatabuky"/>
        <w:tblW w:w="4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</w:tblGrid>
      <w:tr w:rsidR="000059C6" w:rsidRPr="008122E1" w14:paraId="50ED9DD5" w14:textId="3CF4CF5F" w:rsidTr="000059C6">
        <w:tc>
          <w:tcPr>
            <w:tcW w:w="4611" w:type="dxa"/>
          </w:tcPr>
          <w:p w14:paraId="1928E533" w14:textId="75489FE2" w:rsidR="000059C6" w:rsidRPr="008122E1" w:rsidRDefault="008122E1" w:rsidP="000C4B1F">
            <w:pPr>
              <w:pStyle w:val="VTnormal"/>
              <w:tabs>
                <w:tab w:val="left" w:pos="172"/>
                <w:tab w:val="left" w:pos="1731"/>
                <w:tab w:val="left" w:pos="4141"/>
              </w:tabs>
              <w:rPr>
                <w:rFonts w:ascii="Arial" w:hAnsi="Arial" w:cs="Arial"/>
                <w:sz w:val="22"/>
                <w:szCs w:val="22"/>
              </w:rPr>
            </w:pPr>
            <w:r w:rsidRPr="008122E1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8122E1">
              <w:rPr>
                <w:rFonts w:ascii="Arial" w:hAnsi="Arial" w:cs="Arial"/>
                <w:sz w:val="22"/>
                <w:szCs w:val="22"/>
              </w:rPr>
              <w:t xml:space="preserve"> dňa ______________</w:t>
            </w:r>
          </w:p>
        </w:tc>
      </w:tr>
      <w:tr w:rsidR="000059C6" w:rsidRPr="008122E1" w14:paraId="389B2EEC" w14:textId="577E5C61" w:rsidTr="000059C6">
        <w:tc>
          <w:tcPr>
            <w:tcW w:w="4611" w:type="dxa"/>
          </w:tcPr>
          <w:p w14:paraId="46CCD915" w14:textId="77777777" w:rsidR="000059C6" w:rsidRPr="008122E1" w:rsidRDefault="000059C6" w:rsidP="000C4B1F">
            <w:pPr>
              <w:pStyle w:val="VTnormal"/>
              <w:rPr>
                <w:rFonts w:ascii="Arial" w:hAnsi="Arial" w:cs="Arial"/>
                <w:sz w:val="22"/>
                <w:szCs w:val="22"/>
              </w:rPr>
            </w:pPr>
          </w:p>
          <w:p w14:paraId="30D80633" w14:textId="77777777" w:rsidR="000706C9" w:rsidRPr="008122E1" w:rsidRDefault="000706C9" w:rsidP="000C4B1F">
            <w:pPr>
              <w:pStyle w:val="VTnormal"/>
              <w:rPr>
                <w:rFonts w:ascii="Arial" w:hAnsi="Arial" w:cs="Arial"/>
                <w:sz w:val="22"/>
                <w:szCs w:val="22"/>
              </w:rPr>
            </w:pPr>
          </w:p>
          <w:p w14:paraId="0A8BC8FE" w14:textId="28BF7F59" w:rsidR="000059C6" w:rsidRPr="008122E1" w:rsidRDefault="008122E1" w:rsidP="000C4B1F">
            <w:pPr>
              <w:pStyle w:val="VTnormal"/>
              <w:rPr>
                <w:rFonts w:ascii="Arial" w:hAnsi="Arial" w:cs="Arial"/>
                <w:sz w:val="22"/>
                <w:szCs w:val="22"/>
              </w:rPr>
            </w:pPr>
            <w:r w:rsidRPr="008122E1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</w:t>
            </w:r>
            <w:r w:rsidR="000059C6" w:rsidRPr="008122E1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="000059C6" w:rsidRPr="008122E1">
              <w:rPr>
                <w:rFonts w:ascii="Arial" w:hAnsi="Arial" w:cs="Arial"/>
                <w:sz w:val="22"/>
                <w:szCs w:val="22"/>
                <w:highlight w:val="yellow"/>
              </w:rPr>
              <w:t>Spoločník 1</w:t>
            </w:r>
          </w:p>
          <w:p w14:paraId="2FAA7019" w14:textId="77777777" w:rsidR="000059C6" w:rsidRPr="008122E1" w:rsidRDefault="000059C6" w:rsidP="000C4B1F">
            <w:pPr>
              <w:pStyle w:val="VTnormal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122E1">
              <w:rPr>
                <w:rFonts w:ascii="Arial" w:hAnsi="Arial" w:cs="Arial"/>
                <w:i/>
                <w:sz w:val="22"/>
                <w:szCs w:val="22"/>
              </w:rPr>
              <w:t>(úradne osvedčený podpis)</w:t>
            </w:r>
          </w:p>
        </w:tc>
      </w:tr>
    </w:tbl>
    <w:p w14:paraId="000000DD" w14:textId="77777777" w:rsidR="00C10060" w:rsidRPr="008122E1" w:rsidRDefault="00C100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1FF55FA7" w14:textId="77777777" w:rsidR="000059C6" w:rsidRPr="008122E1" w:rsidRDefault="000059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tbl>
      <w:tblPr>
        <w:tblStyle w:val="Mriekatabuky"/>
        <w:tblW w:w="4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</w:tblGrid>
      <w:tr w:rsidR="000059C6" w:rsidRPr="008122E1" w14:paraId="2E5574F0" w14:textId="77777777" w:rsidTr="00A47B36">
        <w:tc>
          <w:tcPr>
            <w:tcW w:w="4611" w:type="dxa"/>
          </w:tcPr>
          <w:p w14:paraId="65ACB981" w14:textId="60EC7734" w:rsidR="000059C6" w:rsidRPr="008122E1" w:rsidRDefault="000059C6" w:rsidP="00A47B36">
            <w:pPr>
              <w:pStyle w:val="VTnormal"/>
              <w:tabs>
                <w:tab w:val="left" w:pos="172"/>
                <w:tab w:val="left" w:pos="1731"/>
                <w:tab w:val="left" w:pos="4141"/>
              </w:tabs>
              <w:rPr>
                <w:rFonts w:ascii="Arial" w:hAnsi="Arial" w:cs="Arial"/>
                <w:sz w:val="22"/>
                <w:szCs w:val="22"/>
              </w:rPr>
            </w:pPr>
            <w:r w:rsidRPr="008122E1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122E1"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8122E1">
              <w:rPr>
                <w:rFonts w:ascii="Arial" w:hAnsi="Arial" w:cs="Arial"/>
                <w:sz w:val="22"/>
                <w:szCs w:val="22"/>
              </w:rPr>
              <w:t xml:space="preserve"> dňa ______________</w:t>
            </w:r>
          </w:p>
        </w:tc>
      </w:tr>
      <w:tr w:rsidR="000059C6" w:rsidRPr="008122E1" w14:paraId="74299F84" w14:textId="77777777" w:rsidTr="00A47B36">
        <w:tc>
          <w:tcPr>
            <w:tcW w:w="4611" w:type="dxa"/>
          </w:tcPr>
          <w:p w14:paraId="1F73E452" w14:textId="77777777" w:rsidR="000059C6" w:rsidRPr="008122E1" w:rsidRDefault="000059C6" w:rsidP="00A47B36">
            <w:pPr>
              <w:pStyle w:val="VTnormal"/>
              <w:rPr>
                <w:rFonts w:ascii="Arial" w:hAnsi="Arial" w:cs="Arial"/>
                <w:sz w:val="22"/>
                <w:szCs w:val="22"/>
              </w:rPr>
            </w:pPr>
          </w:p>
          <w:p w14:paraId="4A7F7883" w14:textId="77777777" w:rsidR="000706C9" w:rsidRPr="008122E1" w:rsidRDefault="000706C9" w:rsidP="00A47B36">
            <w:pPr>
              <w:pStyle w:val="VTnormal"/>
              <w:rPr>
                <w:rFonts w:ascii="Arial" w:hAnsi="Arial" w:cs="Arial"/>
                <w:sz w:val="22"/>
                <w:szCs w:val="22"/>
              </w:rPr>
            </w:pPr>
          </w:p>
          <w:p w14:paraId="3C0ADC0E" w14:textId="7C700D78" w:rsidR="000059C6" w:rsidRPr="008122E1" w:rsidRDefault="000059C6" w:rsidP="00A47B36">
            <w:pPr>
              <w:pStyle w:val="VTnormal"/>
              <w:rPr>
                <w:rFonts w:ascii="Arial" w:hAnsi="Arial" w:cs="Arial"/>
                <w:sz w:val="22"/>
                <w:szCs w:val="22"/>
              </w:rPr>
            </w:pPr>
            <w:r w:rsidRPr="008122E1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</w:t>
            </w:r>
            <w:r w:rsidRPr="008122E1">
              <w:rPr>
                <w:rFonts w:ascii="Arial" w:hAnsi="Arial" w:cs="Arial"/>
                <w:sz w:val="22"/>
                <w:szCs w:val="22"/>
                <w:u w:val="single"/>
              </w:rPr>
              <w:br/>
            </w:r>
            <w:r w:rsidRPr="008122E1">
              <w:rPr>
                <w:rFonts w:ascii="Arial" w:hAnsi="Arial" w:cs="Arial"/>
                <w:sz w:val="22"/>
                <w:szCs w:val="22"/>
                <w:highlight w:val="yellow"/>
              </w:rPr>
              <w:t>Spoločník 2</w:t>
            </w:r>
          </w:p>
          <w:p w14:paraId="07A8DCC1" w14:textId="77777777" w:rsidR="000059C6" w:rsidRPr="008122E1" w:rsidRDefault="000059C6" w:rsidP="00A47B36">
            <w:pPr>
              <w:pStyle w:val="VTnormal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122E1">
              <w:rPr>
                <w:rFonts w:ascii="Arial" w:hAnsi="Arial" w:cs="Arial"/>
                <w:i/>
                <w:sz w:val="22"/>
                <w:szCs w:val="22"/>
              </w:rPr>
              <w:t>(úradne osvedčený podpis)</w:t>
            </w:r>
          </w:p>
        </w:tc>
      </w:tr>
    </w:tbl>
    <w:p w14:paraId="320ADC28" w14:textId="77777777" w:rsidR="000059C6" w:rsidRDefault="000059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6454A859" w14:textId="77777777" w:rsidR="000059C6" w:rsidRDefault="000059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76EBADFF" w14:textId="77777777" w:rsidR="000059C6" w:rsidRPr="000059C6" w:rsidRDefault="000059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p w14:paraId="000000DE" w14:textId="77777777" w:rsidR="00C10060" w:rsidRPr="000059C6" w:rsidRDefault="00C100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  <w:lang w:val="sk-SK"/>
        </w:rPr>
      </w:pPr>
    </w:p>
    <w:sectPr w:rsidR="00C10060" w:rsidRPr="000059C6">
      <w:headerReference w:type="default" r:id="rId8"/>
      <w:footerReference w:type="even" r:id="rId9"/>
      <w:footerReference w:type="default" r:id="rId10"/>
      <w:pgSz w:w="11906" w:h="16838"/>
      <w:pgMar w:top="826" w:right="1134" w:bottom="1276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E3AE" w14:textId="77777777" w:rsidR="00CE2D71" w:rsidRDefault="00CE2D71">
      <w:r>
        <w:separator/>
      </w:r>
    </w:p>
  </w:endnote>
  <w:endnote w:type="continuationSeparator" w:id="0">
    <w:p w14:paraId="63DE46E5" w14:textId="77777777" w:rsidR="00CE2D71" w:rsidRDefault="00CE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E0" w14:textId="77777777" w:rsidR="00C10060" w:rsidRDefault="006A7C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E1" w14:textId="77777777" w:rsidR="00C10060" w:rsidRDefault="00C100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E3" w14:textId="02388C7C" w:rsidR="00C10060" w:rsidRDefault="000059C6" w:rsidP="000059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Strana </w:t>
    </w:r>
    <w:r w:rsidR="006A7CAC" w:rsidRPr="002D16E8">
      <w:rPr>
        <w:rFonts w:ascii="Arial" w:eastAsia="Arial" w:hAnsi="Arial" w:cs="Arial"/>
        <w:color w:val="000000"/>
        <w:sz w:val="22"/>
        <w:szCs w:val="22"/>
      </w:rPr>
      <w:fldChar w:fldCharType="begin"/>
    </w:r>
    <w:r w:rsidR="006A7CAC" w:rsidRPr="002D16E8">
      <w:rPr>
        <w:rFonts w:ascii="Arial" w:eastAsia="Arial" w:hAnsi="Arial" w:cs="Arial"/>
        <w:color w:val="000000"/>
        <w:sz w:val="22"/>
        <w:szCs w:val="22"/>
      </w:rPr>
      <w:instrText>PAGE</w:instrText>
    </w:r>
    <w:r w:rsidR="006A7CAC" w:rsidRPr="002D16E8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1E1AF6" w:rsidRPr="002D16E8">
      <w:rPr>
        <w:rFonts w:ascii="Arial" w:eastAsia="Arial" w:hAnsi="Arial" w:cs="Arial"/>
        <w:noProof/>
        <w:color w:val="000000"/>
        <w:sz w:val="22"/>
        <w:szCs w:val="22"/>
      </w:rPr>
      <w:t>1</w:t>
    </w:r>
    <w:r w:rsidR="006A7CAC" w:rsidRPr="002D16E8">
      <w:rPr>
        <w:rFonts w:ascii="Arial" w:eastAsia="Arial" w:hAnsi="Arial" w:cs="Arial"/>
        <w:color w:val="000000"/>
        <w:sz w:val="22"/>
        <w:szCs w:val="22"/>
      </w:rPr>
      <w:fldChar w:fldCharType="end"/>
    </w:r>
    <w:r w:rsidR="006A7CAC" w:rsidRPr="002D16E8">
      <w:rPr>
        <w:rFonts w:ascii="Arial" w:eastAsia="Arial" w:hAnsi="Arial" w:cs="Arial"/>
        <w:color w:val="000000"/>
        <w:sz w:val="22"/>
        <w:szCs w:val="22"/>
      </w:rPr>
      <w:t xml:space="preserve"> / </w:t>
    </w:r>
    <w:r w:rsidR="006A7CAC" w:rsidRPr="002D16E8">
      <w:rPr>
        <w:rFonts w:ascii="Arial" w:hAnsi="Arial" w:cs="Arial"/>
        <w:color w:val="000000"/>
        <w:sz w:val="22"/>
        <w:szCs w:val="22"/>
      </w:rPr>
      <w:fldChar w:fldCharType="begin"/>
    </w:r>
    <w:r w:rsidR="006A7CAC" w:rsidRPr="002D16E8">
      <w:rPr>
        <w:rFonts w:ascii="Arial" w:hAnsi="Arial" w:cs="Arial"/>
        <w:color w:val="000000"/>
        <w:sz w:val="22"/>
        <w:szCs w:val="22"/>
      </w:rPr>
      <w:instrText>NUMPAGES</w:instrText>
    </w:r>
    <w:r w:rsidR="006A7CAC" w:rsidRPr="002D16E8">
      <w:rPr>
        <w:rFonts w:ascii="Arial" w:hAnsi="Arial" w:cs="Arial"/>
        <w:color w:val="000000"/>
        <w:sz w:val="22"/>
        <w:szCs w:val="22"/>
      </w:rPr>
      <w:fldChar w:fldCharType="separate"/>
    </w:r>
    <w:r w:rsidR="001E1AF6" w:rsidRPr="002D16E8">
      <w:rPr>
        <w:rFonts w:ascii="Arial" w:hAnsi="Arial" w:cs="Arial"/>
        <w:noProof/>
        <w:color w:val="000000"/>
        <w:sz w:val="22"/>
        <w:szCs w:val="22"/>
      </w:rPr>
      <w:t>1</w:t>
    </w:r>
    <w:r w:rsidR="006A7CAC" w:rsidRPr="002D16E8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4230" w14:textId="77777777" w:rsidR="00CE2D71" w:rsidRDefault="00CE2D71">
      <w:r>
        <w:separator/>
      </w:r>
    </w:p>
  </w:footnote>
  <w:footnote w:type="continuationSeparator" w:id="0">
    <w:p w14:paraId="0E162A9C" w14:textId="77777777" w:rsidR="00CE2D71" w:rsidRDefault="00CE2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F" w14:textId="77777777" w:rsidR="00C10060" w:rsidRDefault="00C100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05E"/>
    <w:multiLevelType w:val="multilevel"/>
    <w:tmpl w:val="3A5EAADC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6002A7"/>
    <w:multiLevelType w:val="multilevel"/>
    <w:tmpl w:val="E92CFD5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51E4AA7"/>
    <w:multiLevelType w:val="hybridMultilevel"/>
    <w:tmpl w:val="AC107ACE"/>
    <w:lvl w:ilvl="0" w:tplc="A3DEF27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9E19EC"/>
    <w:multiLevelType w:val="multilevel"/>
    <w:tmpl w:val="87846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F955BD"/>
    <w:multiLevelType w:val="multilevel"/>
    <w:tmpl w:val="089CCDD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0906961"/>
    <w:multiLevelType w:val="multilevel"/>
    <w:tmpl w:val="066A76C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8340F12"/>
    <w:multiLevelType w:val="hybridMultilevel"/>
    <w:tmpl w:val="5B0677FA"/>
    <w:lvl w:ilvl="0" w:tplc="06ECE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46F53"/>
    <w:multiLevelType w:val="multilevel"/>
    <w:tmpl w:val="1EFC24A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860345"/>
    <w:multiLevelType w:val="multilevel"/>
    <w:tmpl w:val="1C14702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AA21585"/>
    <w:multiLevelType w:val="multilevel"/>
    <w:tmpl w:val="1B723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ascii="Arial" w:eastAsia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FD7146"/>
    <w:multiLevelType w:val="multilevel"/>
    <w:tmpl w:val="C5F4CD2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FD4DE6"/>
    <w:multiLevelType w:val="multilevel"/>
    <w:tmpl w:val="1B723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ascii="Arial" w:eastAsia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DA59D5"/>
    <w:multiLevelType w:val="multilevel"/>
    <w:tmpl w:val="F96AF44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47C05CEB"/>
    <w:multiLevelType w:val="multilevel"/>
    <w:tmpl w:val="A51806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F51C0F"/>
    <w:multiLevelType w:val="multilevel"/>
    <w:tmpl w:val="4D3A362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5F27184E"/>
    <w:multiLevelType w:val="multilevel"/>
    <w:tmpl w:val="1B723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ascii="Arial" w:eastAsia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FA7B20"/>
    <w:multiLevelType w:val="multilevel"/>
    <w:tmpl w:val="AD9A7048"/>
    <w:lvl w:ilvl="0">
      <w:start w:val="11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A30D1C"/>
    <w:multiLevelType w:val="multilevel"/>
    <w:tmpl w:val="535A0CC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A428EA"/>
    <w:multiLevelType w:val="multilevel"/>
    <w:tmpl w:val="B6C2E1C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6C2E6E7C"/>
    <w:multiLevelType w:val="multilevel"/>
    <w:tmpl w:val="523E8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FF5275"/>
    <w:multiLevelType w:val="multilevel"/>
    <w:tmpl w:val="352E6BD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6D4983"/>
    <w:multiLevelType w:val="multilevel"/>
    <w:tmpl w:val="F15C0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0842F6"/>
    <w:multiLevelType w:val="hybridMultilevel"/>
    <w:tmpl w:val="5B0677F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3D2B3B"/>
    <w:multiLevelType w:val="multilevel"/>
    <w:tmpl w:val="88A80822"/>
    <w:lvl w:ilvl="0">
      <w:start w:val="2"/>
      <w:numFmt w:val="bullet"/>
      <w:lvlText w:val="-"/>
      <w:lvlJc w:val="left"/>
      <w:pPr>
        <w:ind w:left="106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 w16cid:durableId="1005665961">
    <w:abstractNumId w:val="21"/>
  </w:num>
  <w:num w:numId="2" w16cid:durableId="134832554">
    <w:abstractNumId w:val="10"/>
  </w:num>
  <w:num w:numId="3" w16cid:durableId="1182671210">
    <w:abstractNumId w:val="17"/>
  </w:num>
  <w:num w:numId="4" w16cid:durableId="1960139004">
    <w:abstractNumId w:val="0"/>
  </w:num>
  <w:num w:numId="5" w16cid:durableId="517281848">
    <w:abstractNumId w:val="5"/>
  </w:num>
  <w:num w:numId="6" w16cid:durableId="530075382">
    <w:abstractNumId w:val="1"/>
  </w:num>
  <w:num w:numId="7" w16cid:durableId="652298895">
    <w:abstractNumId w:val="12"/>
  </w:num>
  <w:num w:numId="8" w16cid:durableId="923225307">
    <w:abstractNumId w:val="18"/>
  </w:num>
  <w:num w:numId="9" w16cid:durableId="1233851680">
    <w:abstractNumId w:val="4"/>
  </w:num>
  <w:num w:numId="10" w16cid:durableId="592936146">
    <w:abstractNumId w:val="23"/>
  </w:num>
  <w:num w:numId="11" w16cid:durableId="554776704">
    <w:abstractNumId w:val="8"/>
  </w:num>
  <w:num w:numId="12" w16cid:durableId="2116436662">
    <w:abstractNumId w:val="14"/>
  </w:num>
  <w:num w:numId="13" w16cid:durableId="1437359198">
    <w:abstractNumId w:val="19"/>
  </w:num>
  <w:num w:numId="14" w16cid:durableId="708459023">
    <w:abstractNumId w:val="3"/>
  </w:num>
  <w:num w:numId="15" w16cid:durableId="1860586590">
    <w:abstractNumId w:val="13"/>
  </w:num>
  <w:num w:numId="16" w16cid:durableId="188109625">
    <w:abstractNumId w:val="16"/>
  </w:num>
  <w:num w:numId="17" w16cid:durableId="700084461">
    <w:abstractNumId w:val="6"/>
  </w:num>
  <w:num w:numId="18" w16cid:durableId="507522690">
    <w:abstractNumId w:val="22"/>
  </w:num>
  <w:num w:numId="19" w16cid:durableId="1380472467">
    <w:abstractNumId w:val="9"/>
  </w:num>
  <w:num w:numId="20" w16cid:durableId="1171794938">
    <w:abstractNumId w:val="11"/>
  </w:num>
  <w:num w:numId="21" w16cid:durableId="743259466">
    <w:abstractNumId w:val="15"/>
  </w:num>
  <w:num w:numId="22" w16cid:durableId="1397437096">
    <w:abstractNumId w:val="20"/>
  </w:num>
  <w:num w:numId="23" w16cid:durableId="2094473402">
    <w:abstractNumId w:val="7"/>
  </w:num>
  <w:num w:numId="24" w16cid:durableId="437218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60"/>
    <w:rsid w:val="000024AA"/>
    <w:rsid w:val="000059C6"/>
    <w:rsid w:val="00020AB8"/>
    <w:rsid w:val="000706C9"/>
    <w:rsid w:val="000C4B1F"/>
    <w:rsid w:val="000D05E2"/>
    <w:rsid w:val="00141BA1"/>
    <w:rsid w:val="00176A06"/>
    <w:rsid w:val="001E1AF6"/>
    <w:rsid w:val="002270BB"/>
    <w:rsid w:val="00287DA7"/>
    <w:rsid w:val="002D16E8"/>
    <w:rsid w:val="003523B7"/>
    <w:rsid w:val="00373EB9"/>
    <w:rsid w:val="003A130A"/>
    <w:rsid w:val="003D2A20"/>
    <w:rsid w:val="0041633D"/>
    <w:rsid w:val="00443610"/>
    <w:rsid w:val="00473F24"/>
    <w:rsid w:val="00490970"/>
    <w:rsid w:val="004B479C"/>
    <w:rsid w:val="005004A5"/>
    <w:rsid w:val="00580D36"/>
    <w:rsid w:val="00592EF5"/>
    <w:rsid w:val="005E1768"/>
    <w:rsid w:val="006233B8"/>
    <w:rsid w:val="006A7CAC"/>
    <w:rsid w:val="006C4A6E"/>
    <w:rsid w:val="00780D53"/>
    <w:rsid w:val="00796D9D"/>
    <w:rsid w:val="007B7A2C"/>
    <w:rsid w:val="008122E1"/>
    <w:rsid w:val="00813104"/>
    <w:rsid w:val="00873861"/>
    <w:rsid w:val="00880E06"/>
    <w:rsid w:val="00893D76"/>
    <w:rsid w:val="00897F58"/>
    <w:rsid w:val="008A406E"/>
    <w:rsid w:val="008D1521"/>
    <w:rsid w:val="008D27E4"/>
    <w:rsid w:val="008E4E50"/>
    <w:rsid w:val="009037DA"/>
    <w:rsid w:val="00947739"/>
    <w:rsid w:val="009C0889"/>
    <w:rsid w:val="00A40ABD"/>
    <w:rsid w:val="00A51692"/>
    <w:rsid w:val="00A849D9"/>
    <w:rsid w:val="00AB5411"/>
    <w:rsid w:val="00B51DC6"/>
    <w:rsid w:val="00BC6504"/>
    <w:rsid w:val="00BD6FBA"/>
    <w:rsid w:val="00BD71F1"/>
    <w:rsid w:val="00C01BCA"/>
    <w:rsid w:val="00C10060"/>
    <w:rsid w:val="00C32127"/>
    <w:rsid w:val="00C40DC8"/>
    <w:rsid w:val="00C879DC"/>
    <w:rsid w:val="00CE2D71"/>
    <w:rsid w:val="00CE6F09"/>
    <w:rsid w:val="00D31082"/>
    <w:rsid w:val="00D320CC"/>
    <w:rsid w:val="00D3727B"/>
    <w:rsid w:val="00D413A4"/>
    <w:rsid w:val="00D53501"/>
    <w:rsid w:val="00DD5E07"/>
    <w:rsid w:val="00E136D9"/>
    <w:rsid w:val="00E41974"/>
    <w:rsid w:val="00E865D2"/>
    <w:rsid w:val="00EF418F"/>
    <w:rsid w:val="00F10C44"/>
    <w:rsid w:val="00F3179C"/>
    <w:rsid w:val="00F50C53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A15FB7"/>
  <w15:docId w15:val="{DFA234A7-AA15-3341-AA4C-CEF24B3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61F9"/>
    <w:rPr>
      <w:lang w:val="cs-CZ" w:eastAsia="cs-CZ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4408"/>
    <w:pPr>
      <w:keepNext/>
      <w:outlineLvl w:val="3"/>
    </w:pPr>
    <w:rPr>
      <w:rFonts w:ascii="Arial" w:hAnsi="Arial"/>
      <w:b/>
      <w:spacing w:val="-5"/>
      <w:sz w:val="40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riadkovania">
    <w:name w:val="No Spacing"/>
    <w:uiPriority w:val="1"/>
    <w:qFormat/>
    <w:rsid w:val="00011D2D"/>
  </w:style>
  <w:style w:type="paragraph" w:styleId="Odsekzoznamu">
    <w:name w:val="List Paragraph"/>
    <w:basedOn w:val="Normlny"/>
    <w:uiPriority w:val="34"/>
    <w:qFormat/>
    <w:rsid w:val="00151DE1"/>
    <w:pPr>
      <w:suppressAutoHyphens/>
      <w:ind w:left="720"/>
      <w:contextualSpacing/>
    </w:pPr>
    <w:rPr>
      <w:kern w:val="1"/>
      <w:sz w:val="20"/>
      <w:szCs w:val="20"/>
      <w:lang w:val="en-GB"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551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18A"/>
    <w:pPr>
      <w:suppressAutoHyphens/>
    </w:pPr>
    <w:rPr>
      <w:kern w:val="1"/>
      <w:sz w:val="20"/>
      <w:szCs w:val="20"/>
      <w:lang w:val="en-GB"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1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1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18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51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518A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63660C"/>
    <w:rPr>
      <w:i/>
      <w:iCs/>
    </w:rPr>
  </w:style>
  <w:style w:type="character" w:customStyle="1" w:styleId="apple-converted-space">
    <w:name w:val="apple-converted-space"/>
    <w:basedOn w:val="Predvolenpsmoodseku"/>
    <w:rsid w:val="0063660C"/>
  </w:style>
  <w:style w:type="paragraph" w:styleId="Hlavika">
    <w:name w:val="header"/>
    <w:basedOn w:val="Normlny"/>
    <w:link w:val="HlavikaChar"/>
    <w:rsid w:val="00505090"/>
    <w:pPr>
      <w:suppressLineNumbers/>
      <w:tabs>
        <w:tab w:val="center" w:pos="4536"/>
        <w:tab w:val="right" w:pos="9072"/>
      </w:tabs>
      <w:suppressAutoHyphens/>
    </w:pPr>
    <w:rPr>
      <w:kern w:val="1"/>
      <w:sz w:val="20"/>
      <w:szCs w:val="20"/>
      <w:lang w:val="en-GB" w:eastAsia="ar-SA"/>
    </w:rPr>
  </w:style>
  <w:style w:type="character" w:customStyle="1" w:styleId="HlavikaChar">
    <w:name w:val="Hlavička Char"/>
    <w:basedOn w:val="Predvolenpsmoodseku"/>
    <w:link w:val="Hlavika"/>
    <w:rsid w:val="00505090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Normln1">
    <w:name w:val="Normální1"/>
    <w:rsid w:val="00505090"/>
    <w:pPr>
      <w:spacing w:line="276" w:lineRule="auto"/>
    </w:pPr>
    <w:rPr>
      <w:rFonts w:ascii="Arial" w:eastAsia="Arial" w:hAnsi="Arial" w:cs="Arial"/>
      <w:color w:val="000000"/>
      <w:lang w:val="cs-CZ" w:eastAsia="cs-CZ"/>
    </w:rPr>
  </w:style>
  <w:style w:type="paragraph" w:customStyle="1" w:styleId="Normlny1">
    <w:name w:val="Normálny1"/>
    <w:rsid w:val="00505090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character" w:customStyle="1" w:styleId="TextkomenteChar1">
    <w:name w:val="Text komentáře Char1"/>
    <w:basedOn w:val="Predvolenpsmoodseku"/>
    <w:uiPriority w:val="99"/>
    <w:semiHidden/>
    <w:rsid w:val="00505090"/>
    <w:rPr>
      <w:kern w:val="1"/>
      <w:lang w:val="en-GB" w:eastAsia="ar-SA"/>
    </w:rPr>
  </w:style>
  <w:style w:type="paragraph" w:customStyle="1" w:styleId="LO-normal">
    <w:name w:val="LO-normal"/>
    <w:rsid w:val="00505090"/>
    <w:pPr>
      <w:suppressAutoHyphens/>
      <w:spacing w:line="276" w:lineRule="auto"/>
    </w:pPr>
    <w:rPr>
      <w:rFonts w:ascii="Arial" w:eastAsia="Arial" w:hAnsi="Arial" w:cs="Arial"/>
      <w:color w:val="000000"/>
      <w:lang w:val="cs-CZ" w:eastAsia="zh-CN"/>
    </w:rPr>
  </w:style>
  <w:style w:type="character" w:customStyle="1" w:styleId="Nadpis4Char">
    <w:name w:val="Nadpis 4 Char"/>
    <w:basedOn w:val="Predvolenpsmoodseku"/>
    <w:link w:val="Nadpis4"/>
    <w:rsid w:val="00574408"/>
    <w:rPr>
      <w:rFonts w:ascii="Arial" w:eastAsia="Times New Roman" w:hAnsi="Arial" w:cs="Times New Roman"/>
      <w:b/>
      <w:spacing w:val="-5"/>
      <w:sz w:val="4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C845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457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unhideWhenUsed/>
    <w:rsid w:val="00C84579"/>
  </w:style>
  <w:style w:type="table" w:customStyle="1" w:styleId="TableNormal0">
    <w:name w:val="Table Normal"/>
    <w:rsid w:val="00B042FD"/>
    <w:pPr>
      <w:spacing w:after="80"/>
      <w:jc w:val="both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ywebov">
    <w:name w:val="Normal (Web)"/>
    <w:basedOn w:val="Normlny"/>
    <w:uiPriority w:val="99"/>
    <w:unhideWhenUsed/>
    <w:rsid w:val="00716519"/>
    <w:pPr>
      <w:spacing w:before="100" w:beforeAutospacing="1" w:after="100" w:afterAutospacing="1"/>
    </w:pPr>
    <w:rPr>
      <w:lang w:val="sk-SK" w:eastAsia="sk-SK"/>
    </w:rPr>
  </w:style>
  <w:style w:type="character" w:customStyle="1" w:styleId="apple-tab-span">
    <w:name w:val="apple-tab-span"/>
    <w:basedOn w:val="Predvolenpsmoodseku"/>
    <w:rsid w:val="00716519"/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VTnormal">
    <w:name w:val="VT normal"/>
    <w:basedOn w:val="Normlny"/>
    <w:qFormat/>
    <w:rsid w:val="000C4B1F"/>
    <w:pPr>
      <w:widowControl w:val="0"/>
      <w:tabs>
        <w:tab w:val="center" w:pos="4395"/>
      </w:tabs>
      <w:spacing w:before="120" w:after="120"/>
    </w:pPr>
    <w:rPr>
      <w:szCs w:val="20"/>
      <w:lang w:val="sk-SK" w:eastAsia="sk-SK"/>
    </w:rPr>
  </w:style>
  <w:style w:type="table" w:styleId="Mriekatabuky">
    <w:name w:val="Table Grid"/>
    <w:basedOn w:val="Normlnatabuka"/>
    <w:uiPriority w:val="39"/>
    <w:rsid w:val="000C4B1F"/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40D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/tQ3zzYFGzdF7QUKxhLoKz8zXQ==">CgMxLjAyDmgudndzczN2ZmJ2aG9lMg5oLnQ3dTh0YjczeXN3cjIOaC5jZW9oYjM3NHVxdHc4AHIhMVRXak9lQjh1bWlKenlhSEw1NkpUcVF6TUpVcWMxUG1C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tomvavro</dc:creator>
  <cp:lastModifiedBy>Tomáš Vavro</cp:lastModifiedBy>
  <cp:revision>10</cp:revision>
  <dcterms:created xsi:type="dcterms:W3CDTF">2025-08-11T15:23:00Z</dcterms:created>
  <dcterms:modified xsi:type="dcterms:W3CDTF">2025-08-14T20:49:00Z</dcterms:modified>
</cp:coreProperties>
</file>